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11</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2210943</w:t>
      </w:r>
    </w:p>
    <w:p>
      <w:pPr>
        <w:snapToGrid w:val="0"/>
        <w:spacing w:line="240" w:lineRule="auto"/>
        <w:rPr>
          <w:rFonts w:ascii="Arial" w:hAnsi="Arial" w:eastAsia="宋体"/>
          <w:b/>
          <w:sz w:val="22"/>
        </w:rPr>
      </w:pPr>
      <w:r>
        <w:rPr>
          <w:rFonts w:ascii="Arial" w:hAnsi="Arial"/>
          <w:b/>
          <w:sz w:val="22"/>
        </w:rPr>
        <w:t>Toulouse, France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November 14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18</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Enhancements on T</w:t>
      </w:r>
      <w:r>
        <w:rPr>
          <w:rFonts w:hint="eastAsia" w:eastAsia="宋体"/>
          <w:sz w:val="22"/>
          <w:szCs w:val="22"/>
          <w:lang w:eastAsia="zh-CN"/>
        </w:rPr>
        <w:t>A</w:t>
      </w:r>
      <w:r>
        <w:rPr>
          <w:rFonts w:hint="eastAsia"/>
          <w:sz w:val="22"/>
          <w:szCs w:val="22"/>
        </w:rPr>
        <w:t xml:space="preserve"> </w:t>
      </w:r>
      <w:r>
        <w:rPr>
          <w:rFonts w:hint="eastAsia" w:eastAsia="宋体"/>
          <w:sz w:val="22"/>
          <w:szCs w:val="22"/>
          <w:lang w:eastAsia="zh-CN"/>
        </w:rPr>
        <w:t>management to reduce latency</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9.12.2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new Rel-18 WID on </w:t>
      </w:r>
      <w:r>
        <w:rPr>
          <w:rFonts w:hint="eastAsia" w:eastAsia="微软雅黑"/>
          <w:szCs w:val="20"/>
        </w:rPr>
        <w:t>L1/L2 inter-cell mobility</w:t>
      </w:r>
      <w:r>
        <w:rPr>
          <w:rFonts w:hint="eastAsia" w:eastAsia="微软雅黑"/>
          <w:szCs w:val="20"/>
          <w:lang w:val="en-GB"/>
        </w:rPr>
        <w:t xml:space="preserve">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management for inter-cell mobility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pacing w:after="0"/>
              <w:jc w:val="both"/>
              <w:rPr>
                <w:bCs/>
                <w:szCs w:val="20"/>
              </w:rPr>
            </w:pPr>
            <w:r>
              <w:rPr>
                <w:bCs/>
                <w:szCs w:val="20"/>
              </w:rPr>
              <w:t>To specify mechanism and procedures of L1/L2 based inter-cell mobility for mobility latency reduction:</w:t>
            </w:r>
          </w:p>
          <w:p>
            <w:pPr>
              <w:numPr>
                <w:ilvl w:val="0"/>
                <w:numId w:val="9"/>
              </w:numPr>
              <w:spacing w:after="0"/>
              <w:jc w:val="both"/>
              <w:rPr>
                <w:bCs/>
                <w:szCs w:val="20"/>
              </w:rPr>
            </w:pPr>
            <w:r>
              <w:rPr>
                <w:bCs/>
                <w:szCs w:val="20"/>
              </w:rPr>
              <w:t>Configuration and maintenance for multiple candidate cells to allow fast application of configurations for candidate cells [RAN2, RAN3]</w:t>
            </w:r>
          </w:p>
          <w:p>
            <w:pPr>
              <w:numPr>
                <w:ilvl w:val="0"/>
                <w:numId w:val="9"/>
              </w:numPr>
              <w:spacing w:after="0"/>
              <w:jc w:val="both"/>
              <w:rPr>
                <w:bCs/>
                <w:szCs w:val="20"/>
              </w:rPr>
            </w:pPr>
            <w:r>
              <w:rPr>
                <w:bCs/>
                <w:szCs w:val="20"/>
              </w:rPr>
              <w:t>Dynamic switch mechanism among candidate serving cells (including SpCell and SCell) for the potential applicable scenarios based on L1/L2 signalling [RAN2, RAN1]</w:t>
            </w:r>
          </w:p>
          <w:p>
            <w:pPr>
              <w:numPr>
                <w:ilvl w:val="0"/>
                <w:numId w:val="9"/>
              </w:numPr>
              <w:spacing w:after="0"/>
              <w:jc w:val="both"/>
              <w:rPr>
                <w:bCs/>
                <w:szCs w:val="20"/>
              </w:rPr>
            </w:pPr>
            <w:r>
              <w:rPr>
                <w:bCs/>
                <w:szCs w:val="20"/>
              </w:rPr>
              <w:t>L1 enhancements for inter-cell beam management, including L1 measurement and reporting, and beam indication [RAN1, RAN2]</w:t>
            </w:r>
          </w:p>
          <w:p>
            <w:pPr>
              <w:numPr>
                <w:ilvl w:val="1"/>
                <w:numId w:val="9"/>
              </w:numPr>
              <w:spacing w:after="0"/>
              <w:jc w:val="both"/>
              <w:rPr>
                <w:bCs/>
                <w:i/>
                <w:szCs w:val="20"/>
              </w:rPr>
            </w:pPr>
            <w:r>
              <w:rPr>
                <w:bCs/>
                <w:i/>
                <w:szCs w:val="20"/>
              </w:rPr>
              <w:t>Note 1: Early RAN2 involvement is necessary, including the possibility of further clarifying the interaction between this bullet with the previous bullet</w:t>
            </w:r>
          </w:p>
          <w:p>
            <w:pPr>
              <w:numPr>
                <w:ilvl w:val="0"/>
                <w:numId w:val="9"/>
              </w:numPr>
              <w:spacing w:after="0"/>
              <w:jc w:val="both"/>
              <w:rPr>
                <w:bCs/>
                <w:szCs w:val="20"/>
              </w:rPr>
            </w:pPr>
            <w:r>
              <w:rPr>
                <w:bCs/>
                <w:szCs w:val="20"/>
              </w:rPr>
              <w:t>Timing Advance management [RAN1, RAN2]</w:t>
            </w:r>
          </w:p>
          <w:p>
            <w:pPr>
              <w:numPr>
                <w:ilvl w:val="0"/>
                <w:numId w:val="9"/>
              </w:numPr>
              <w:spacing w:after="0"/>
              <w:jc w:val="both"/>
              <w:rPr>
                <w:bCs/>
                <w:szCs w:val="20"/>
              </w:rPr>
            </w:pPr>
            <w:r>
              <w:rPr>
                <w:bCs/>
                <w:szCs w:val="20"/>
              </w:rPr>
              <w:t>CU-DU interface signaling to support L1/L2 mobility, if needed [RAN3]</w:t>
            </w:r>
          </w:p>
          <w:p>
            <w:pPr>
              <w:spacing w:after="0"/>
              <w:jc w:val="both"/>
              <w:rPr>
                <w:bCs/>
                <w:szCs w:val="20"/>
              </w:rPr>
            </w:pPr>
          </w:p>
          <w:p>
            <w:pPr>
              <w:spacing w:after="0"/>
              <w:ind w:left="720"/>
              <w:jc w:val="both"/>
              <w:rPr>
                <w:bCs/>
                <w:i/>
                <w:szCs w:val="20"/>
              </w:rPr>
            </w:pPr>
            <w:r>
              <w:rPr>
                <w:bCs/>
                <w:i/>
                <w:szCs w:val="20"/>
              </w:rPr>
              <w:t>Note 2: FR2 specific enhancements are not precluded, if any.</w:t>
            </w:r>
          </w:p>
          <w:p>
            <w:pPr>
              <w:spacing w:after="0"/>
              <w:ind w:left="720"/>
              <w:jc w:val="both"/>
              <w:rPr>
                <w:bCs/>
                <w:i/>
                <w:szCs w:val="20"/>
              </w:rPr>
            </w:pPr>
            <w:r>
              <w:rPr>
                <w:bCs/>
                <w:i/>
                <w:szCs w:val="20"/>
              </w:rPr>
              <w:t>Note 3: The procedure of L1/L2 based inter-cell mobility are applicable to the following scenarios:</w:t>
            </w:r>
          </w:p>
          <w:p>
            <w:pPr>
              <w:numPr>
                <w:ilvl w:val="2"/>
                <w:numId w:val="10"/>
              </w:numPr>
              <w:spacing w:after="0"/>
              <w:ind w:left="1443"/>
              <w:jc w:val="both"/>
              <w:rPr>
                <w:bCs/>
                <w:i/>
                <w:szCs w:val="20"/>
              </w:rPr>
            </w:pPr>
            <w:r>
              <w:rPr>
                <w:bCs/>
                <w:i/>
                <w:szCs w:val="20"/>
              </w:rPr>
              <w:t>Standalone, CA and NR-DC case with serving cell change within one CG</w:t>
            </w:r>
          </w:p>
          <w:p>
            <w:pPr>
              <w:numPr>
                <w:ilvl w:val="2"/>
                <w:numId w:val="10"/>
              </w:numPr>
              <w:spacing w:after="0"/>
              <w:ind w:left="1443"/>
              <w:jc w:val="both"/>
              <w:rPr>
                <w:bCs/>
                <w:i/>
                <w:szCs w:val="20"/>
              </w:rPr>
            </w:pPr>
            <w:r>
              <w:rPr>
                <w:bCs/>
                <w:i/>
                <w:szCs w:val="20"/>
              </w:rPr>
              <w:t>Intra-DU case and intra-CU inter-DU case (applicable for Standalone and CA: no new RAN interfaces are expected)</w:t>
            </w:r>
          </w:p>
          <w:p>
            <w:pPr>
              <w:numPr>
                <w:ilvl w:val="2"/>
                <w:numId w:val="10"/>
              </w:numPr>
              <w:spacing w:after="0"/>
              <w:ind w:left="1443"/>
              <w:jc w:val="both"/>
              <w:rPr>
                <w:bCs/>
                <w:i/>
                <w:szCs w:val="20"/>
              </w:rPr>
            </w:pPr>
            <w:r>
              <w:rPr>
                <w:bCs/>
                <w:i/>
                <w:szCs w:val="20"/>
              </w:rPr>
              <w:t>Both intra-frequency and inter-frequency</w:t>
            </w:r>
          </w:p>
          <w:p>
            <w:pPr>
              <w:numPr>
                <w:ilvl w:val="2"/>
                <w:numId w:val="10"/>
              </w:numPr>
              <w:spacing w:after="0"/>
              <w:ind w:left="1443"/>
              <w:jc w:val="both"/>
              <w:rPr>
                <w:rFonts w:eastAsia="微软雅黑"/>
                <w:szCs w:val="20"/>
              </w:rPr>
            </w:pPr>
            <w:r>
              <w:rPr>
                <w:bCs/>
                <w:i/>
                <w:szCs w:val="20"/>
              </w:rPr>
              <w:t>Both FR1 and FR2</w:t>
            </w:r>
          </w:p>
          <w:p>
            <w:pPr>
              <w:numPr>
                <w:ilvl w:val="2"/>
                <w:numId w:val="10"/>
              </w:numPr>
              <w:spacing w:after="0"/>
              <w:ind w:left="1443"/>
              <w:jc w:val="both"/>
              <w:rPr>
                <w:rFonts w:eastAsia="微软雅黑"/>
                <w:szCs w:val="20"/>
              </w:rPr>
            </w:pPr>
            <w:r>
              <w:rPr>
                <w:bCs/>
                <w:i/>
                <w:szCs w:val="20"/>
              </w:rPr>
              <w:t>Source and target cells may be synchronized or non-synchronized</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In this contribution, we</w:t>
      </w:r>
      <w:r>
        <w:rPr>
          <w:rFonts w:hint="eastAsia" w:eastAsia="微软雅黑"/>
          <w:szCs w:val="20"/>
        </w:rPr>
        <w:t xml:space="preserve"> share our initial views on</w:t>
      </w:r>
      <w:r>
        <w:rPr>
          <w:rFonts w:hint="eastAsia" w:eastAsia="微软雅黑"/>
          <w:szCs w:val="20"/>
          <w:lang w:val="en-GB"/>
        </w:rPr>
        <w:t xml:space="preserve"> </w:t>
      </w:r>
      <w:r>
        <w:rPr>
          <w:rFonts w:hint="eastAsia" w:eastAsia="微软雅黑"/>
          <w:szCs w:val="20"/>
        </w:rPr>
        <w:t xml:space="preserve">a design framework and principle and some potential enhancements for timing advance management to support mobility latency reduction. </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10" w:after="120" w:afterLines="50" w:line="288" w:lineRule="auto"/>
        <w:ind w:left="567" w:hanging="567"/>
        <w:jc w:val="both"/>
        <w:outlineLvl w:val="1"/>
        <w:rPr>
          <w:rFonts w:eastAsia="宋体"/>
        </w:rPr>
      </w:pPr>
      <w:r>
        <w:rPr>
          <w:rFonts w:hint="eastAsia" w:eastAsia="宋体"/>
          <w:b/>
          <w:sz w:val="24"/>
          <w:szCs w:val="20"/>
        </w:rPr>
        <w:t>Preliminary consideration on TA management for mobility</w:t>
      </w:r>
    </w:p>
    <w:p>
      <w:pPr>
        <w:snapToGrid w:val="0"/>
        <w:spacing w:before="72" w:beforeLines="30" w:after="72" w:afterLines="30" w:line="288" w:lineRule="auto"/>
        <w:jc w:val="both"/>
        <w:rPr>
          <w:rFonts w:eastAsia="宋体"/>
        </w:rPr>
      </w:pPr>
      <w:r>
        <w:rPr>
          <w:rFonts w:hint="eastAsia" w:eastAsia="宋体"/>
        </w:rPr>
        <w:t xml:space="preserve">As analyzed in our companion contribution [2], components dominantly contributing to interruption latency are downlink synchronization, uplink synchronization and </w:t>
      </w:r>
      <w:r>
        <w:rPr>
          <w:rFonts w:hint="eastAsia"/>
          <w:szCs w:val="20"/>
        </w:rPr>
        <w:t>T</w:t>
      </w:r>
      <w:r>
        <w:rPr>
          <w:rFonts w:hint="eastAsia"/>
          <w:sz w:val="13"/>
          <w:szCs w:val="13"/>
        </w:rPr>
        <w:t>first-data</w:t>
      </w:r>
      <w:r>
        <w:rPr>
          <w:rFonts w:hint="eastAsia" w:eastAsia="宋体"/>
        </w:rPr>
        <w:t xml:space="preserve">, wherein, </w:t>
      </w:r>
      <w:r>
        <w:rPr>
          <w:rFonts w:hint="eastAsia"/>
          <w:szCs w:val="20"/>
        </w:rPr>
        <w:t>T</w:t>
      </w:r>
      <w:r>
        <w:rPr>
          <w:rFonts w:hint="eastAsia"/>
          <w:sz w:val="13"/>
          <w:szCs w:val="13"/>
        </w:rPr>
        <w:t>first-data</w:t>
      </w:r>
      <w:r>
        <w:rPr>
          <w:rFonts w:hint="eastAsia" w:eastAsia="宋体"/>
          <w:sz w:val="13"/>
          <w:szCs w:val="13"/>
        </w:rPr>
        <w:t xml:space="preserve"> </w:t>
      </w:r>
      <w:r>
        <w:rPr>
          <w:rFonts w:hint="eastAsia" w:eastAsia="宋体"/>
        </w:rPr>
        <w:t>is a time duration from RAR to the first DL/UL reception/ transmission on the indicated beam of the target cell. In order to reduce interruption latency, uplink synchronization should be completed earlier than the cell switch command. With this consideration, the UE may require to acquire and maintain timing advance for multiple candidate target cells before receiving cell switch command. After receiving cell switch command, UE will be able to apply the timing advance acquired or maintained for the target cell to determine uplink timing.</w:t>
      </w:r>
    </w:p>
    <w:p>
      <w:pPr>
        <w:snapToGrid w:val="0"/>
        <w:spacing w:before="72" w:beforeLines="30" w:after="72" w:afterLines="30" w:line="288" w:lineRule="auto"/>
        <w:jc w:val="both"/>
        <w:rPr>
          <w:rFonts w:eastAsia="宋体"/>
        </w:rPr>
      </w:pPr>
      <w:r>
        <w:rPr>
          <w:rFonts w:hint="eastAsia" w:eastAsia="宋体"/>
        </w:rPr>
        <w:t>For timing advance management for mobility, it mainly intends to acquire TA for multiple candidate target cells but not apply them before the target cell is activated, therefore acquiring multiple TAs and enabling one of the TAs for uplink timing determination should be regarded as a starting point for studying TA enhancement of Rel-18 L1/L2 triggered mobility.</w:t>
      </w:r>
    </w:p>
    <w:p>
      <w:pPr>
        <w:snapToGrid w:val="0"/>
        <w:spacing w:before="72" w:beforeLines="30" w:after="72" w:afterLines="30" w:line="288" w:lineRule="auto"/>
        <w:jc w:val="both"/>
        <w:rPr>
          <w:rFonts w:eastAsia="宋体"/>
        </w:rPr>
      </w:pPr>
      <w:r>
        <w:rPr>
          <w:rFonts w:hint="eastAsia" w:eastAsia="宋体"/>
        </w:rPr>
        <w:t xml:space="preserve">Figure 1 below illustrates one possible procedure of timing advance management for mobility latency reduction. UE determines uplink timing of uplink transmissions to the source cell based on timing advance associated with the source cell and determines uplink timing of uplink transmissions to the target cell indicated by the cell switch command based on the corresponding acquired timing advance. </w:t>
      </w:r>
    </w:p>
    <w:p>
      <w:pPr>
        <w:snapToGrid w:val="0"/>
        <w:spacing w:before="72" w:beforeLines="30" w:after="72" w:afterLines="30" w:line="288" w:lineRule="auto"/>
        <w:jc w:val="center"/>
      </w:pPr>
      <w:r>
        <w:drawing>
          <wp:inline distT="0" distB="0" distL="114300" distR="114300">
            <wp:extent cx="3717290" cy="2023745"/>
            <wp:effectExtent l="0" t="0" r="1651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717290" cy="202374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Timing advance management</w:t>
      </w:r>
    </w:p>
    <w:p>
      <w:pPr>
        <w:snapToGrid w:val="0"/>
        <w:spacing w:before="72" w:beforeLines="30" w:after="72" w:afterLines="30" w:line="288" w:lineRule="auto"/>
        <w:jc w:val="both"/>
        <w:rPr>
          <w:rFonts w:eastAsia="宋体"/>
        </w:rPr>
      </w:pPr>
      <w:r>
        <w:rPr>
          <w:rFonts w:hint="eastAsia" w:eastAsia="宋体"/>
        </w:rPr>
        <w:t xml:space="preserve">Although TA enhancement is being discussed under another agenda item, i.e., A.I. two TAs for multi-DCI multi-TRP, and has made some preliminary progresses, the design requirements of TA for these two agenda items are actually different. For instance, TA enhancement for multi-DCI multi-TRP mainly focus on association of TA to UL channels/signals and initial timing advance acquisition through RACH procedure, while TA enhancement for L1/L2 triggered mobility focuses on acquiring timing advance with lower latency and the association of TA to candidate cell. </w:t>
      </w:r>
      <w:r>
        <w:rPr>
          <w:rFonts w:eastAsia="宋体"/>
        </w:rPr>
        <w:t>Therefore,</w:t>
      </w:r>
      <w:r>
        <w:rPr>
          <w:rFonts w:hint="eastAsia" w:eastAsia="宋体"/>
        </w:rPr>
        <w:t xml:space="preserve"> we tend to treat TA enhancement for L1/L2 triggered mobility and multi-DCI multi-TRP as two independent designs.</w:t>
      </w:r>
    </w:p>
    <w:p>
      <w:pPr>
        <w:snapToGrid w:val="0"/>
        <w:spacing w:before="72" w:beforeLines="30" w:after="72" w:afterLines="30" w:line="288" w:lineRule="auto"/>
        <w:jc w:val="both"/>
      </w:pPr>
      <w:r>
        <w:rPr>
          <w:rFonts w:hint="eastAsia" w:eastAsia="宋体"/>
          <w:b/>
          <w:bCs/>
          <w:i/>
          <w:iCs/>
        </w:rPr>
        <w:t>Proposal</w:t>
      </w:r>
      <w:r>
        <w:rPr>
          <w:rFonts w:hint="eastAsia"/>
          <w:b/>
          <w:bCs/>
          <w:i/>
          <w:iCs/>
        </w:rPr>
        <w:t xml:space="preserve"> 1:</w:t>
      </w:r>
      <w:r>
        <w:rPr>
          <w:rFonts w:hint="eastAsia"/>
          <w:i/>
          <w:iCs/>
        </w:rPr>
        <w:t xml:space="preserve"> </w:t>
      </w:r>
      <w:r>
        <w:rPr>
          <w:rFonts w:hint="eastAsia" w:eastAsia="宋体"/>
          <w:i/>
          <w:iCs/>
        </w:rPr>
        <w:t>Timing advance management for L1/L2 triggered mobility and two TAs enhancement for multi-DCI multi-TRP should be treated as two independent designs.</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Number of TA acquired for candidate cells</w:t>
      </w:r>
    </w:p>
    <w:p>
      <w:pPr>
        <w:snapToGrid w:val="0"/>
        <w:spacing w:before="72" w:beforeLines="30" w:after="72" w:afterLines="30" w:line="288" w:lineRule="auto"/>
        <w:jc w:val="both"/>
        <w:rPr>
          <w:rFonts w:eastAsia="宋体"/>
        </w:rPr>
      </w:pPr>
      <w:r>
        <w:rPr>
          <w:rFonts w:hint="eastAsia" w:eastAsia="宋体"/>
        </w:rPr>
        <w:t>In RAN1#110b-e meeting, the following agreement on TA acquisition of candidate cell(s)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Support TA acquisition of candidate cell(s) before cell switch command is received in L1/L2 based mobility.</w:t>
            </w:r>
          </w:p>
          <w:p>
            <w:pPr>
              <w:numPr>
                <w:ilvl w:val="0"/>
                <w:numId w:val="11"/>
              </w:numPr>
              <w:spacing w:before="72" w:beforeLines="30" w:after="72" w:afterLines="30" w:line="288" w:lineRule="auto"/>
              <w:rPr>
                <w:rFonts w:eastAsia="宋体"/>
              </w:rPr>
            </w:pPr>
            <w:r>
              <w:rPr>
                <w:rFonts w:hint="eastAsia" w:eastAsia="宋体"/>
              </w:rPr>
              <w:t>FFS: whether this can be applied to candidate cell when it is deactivated SCell (if defined in RAN2)</w:t>
            </w:r>
          </w:p>
        </w:tc>
      </w:tr>
    </w:tbl>
    <w:p>
      <w:pPr>
        <w:snapToGrid w:val="0"/>
        <w:spacing w:before="72" w:beforeLines="30" w:after="72" w:afterLines="30" w:line="288" w:lineRule="auto"/>
        <w:jc w:val="both"/>
        <w:rPr>
          <w:rFonts w:eastAsia="宋体"/>
        </w:rPr>
      </w:pPr>
      <w:r>
        <w:rPr>
          <w:rFonts w:hint="eastAsia" w:eastAsia="宋体"/>
        </w:rPr>
        <w:t xml:space="preserve">According to the progress of RAN2, currently they only discussed that candidate cells can be early configured before cell switch and configuration model of candidate cells and the specific maximum number of configurable candidate cells has not been discussed and determined yet. But it is conservatively estimated that at least 7 candidate cells can be configured, analogous to Rel-17 ICBM. For Rel-18 L1/L2 triggered mobility, DL/UL synchronization might be operated for multiple candidate cells rather than only for the target cell indicated by the cell switch command. </w:t>
      </w:r>
      <w:r>
        <w:rPr>
          <w:rFonts w:eastAsia="宋体"/>
        </w:rPr>
        <w:t>Therefore,</w:t>
      </w:r>
      <w:r>
        <w:rPr>
          <w:rFonts w:hint="eastAsia" w:eastAsia="宋体"/>
        </w:rPr>
        <w:t xml:space="preserve"> whether to operate DL/UL synchronization for all configured candidate cells or a subset of candidate cells deserves consideration.</w:t>
      </w:r>
    </w:p>
    <w:p>
      <w:pPr>
        <w:snapToGrid w:val="0"/>
        <w:spacing w:before="72" w:beforeLines="30" w:after="72" w:afterLines="30" w:line="288" w:lineRule="auto"/>
        <w:jc w:val="both"/>
        <w:rPr>
          <w:rFonts w:eastAsia="宋体"/>
        </w:rPr>
      </w:pPr>
      <w:r>
        <w:rPr>
          <w:rFonts w:hint="eastAsia" w:eastAsia="宋体"/>
        </w:rPr>
        <w:t>Obviously operating DL/UL synchronization for all configured candidate cells is time-consuming and complicated, which definitely is not workable to reduce mobility latency, hence operating DL/UL synchronization for a subset of candidate cells should be considered to be supported. Th</w:t>
      </w:r>
      <w:r>
        <w:rPr>
          <w:rFonts w:eastAsia="宋体"/>
        </w:rPr>
        <w:t xml:space="preserve">en, </w:t>
      </w:r>
      <w:r>
        <w:rPr>
          <w:rFonts w:hint="eastAsia" w:eastAsia="宋体"/>
        </w:rPr>
        <w:t>the determination of the subset of candidate cells and the maximum size of subset of candidate cells require clarification, e.g., the rule to determine a subset of candidate cell is up to L1 measurement or possible moving trajectory for UE, gNB informing or implementation.</w:t>
      </w:r>
    </w:p>
    <w:p>
      <w:pPr>
        <w:snapToGrid w:val="0"/>
        <w:spacing w:before="120" w:after="120" w:afterLines="50" w:line="300" w:lineRule="auto"/>
        <w:jc w:val="both"/>
        <w:rPr>
          <w:rFonts w:eastAsia="宋体"/>
        </w:rPr>
      </w:pPr>
      <w:r>
        <w:rPr>
          <w:rFonts w:eastAsia="微软雅黑"/>
          <w:szCs w:val="20"/>
        </w:rPr>
        <w:t xml:space="preserve">Regarding </w:t>
      </w:r>
      <w:r>
        <w:rPr>
          <w:rFonts w:hint="eastAsia" w:eastAsia="微软雅黑"/>
          <w:szCs w:val="20"/>
        </w:rPr>
        <w:t>TA acquisition of a subset of candidate cells</w:t>
      </w:r>
      <w:r>
        <w:rPr>
          <w:rFonts w:eastAsia="微软雅黑"/>
          <w:szCs w:val="20"/>
        </w:rPr>
        <w:t xml:space="preserve">, the legacy topology for </w:t>
      </w:r>
      <w:r>
        <w:rPr>
          <w:rFonts w:hint="eastAsia" w:eastAsia="微软雅黑"/>
          <w:szCs w:val="20"/>
        </w:rPr>
        <w:t>TRP</w:t>
      </w:r>
      <w:r>
        <w:rPr>
          <w:rFonts w:eastAsia="微软雅黑"/>
          <w:szCs w:val="20"/>
        </w:rPr>
        <w:t xml:space="preserve"> deployment should be considered as a starting point. </w:t>
      </w:r>
      <w:r>
        <w:rPr>
          <w:rFonts w:hint="eastAsia" w:eastAsia="微软雅黑"/>
          <w:szCs w:val="20"/>
        </w:rPr>
        <w:t>A</w:t>
      </w:r>
      <w:r>
        <w:rPr>
          <w:rFonts w:eastAsia="微软雅黑"/>
          <w:szCs w:val="20"/>
        </w:rPr>
        <w:t xml:space="preserve">s shown in Figure </w:t>
      </w:r>
      <w:r>
        <w:rPr>
          <w:rFonts w:hint="eastAsia" w:eastAsia="微软雅黑"/>
          <w:szCs w:val="20"/>
        </w:rPr>
        <w:t xml:space="preserve">2, although six candidate cells are configured for UE, basically only three or four candidate cells circled in red line </w:t>
      </w:r>
      <w:r>
        <w:rPr>
          <w:rFonts w:eastAsia="微软雅黑"/>
          <w:szCs w:val="20"/>
        </w:rPr>
        <w:t>may</w:t>
      </w:r>
      <w:r>
        <w:rPr>
          <w:rFonts w:hint="eastAsia" w:eastAsia="微软雅黑"/>
          <w:szCs w:val="20"/>
        </w:rPr>
        <w:t xml:space="preserve"> be the target cell</w:t>
      </w:r>
      <w:r>
        <w:rPr>
          <w:rFonts w:eastAsia="微软雅黑"/>
          <w:szCs w:val="20"/>
        </w:rPr>
        <w:t xml:space="preserve"> with quite high probability</w:t>
      </w:r>
      <w:r>
        <w:rPr>
          <w:rFonts w:hint="eastAsia" w:eastAsia="微软雅黑"/>
          <w:szCs w:val="20"/>
        </w:rPr>
        <w:t xml:space="preserve">, and acquiring TA of the other candidate cells seems worthless. </w:t>
      </w:r>
      <w:r>
        <w:rPr>
          <w:rFonts w:eastAsia="微软雅黑"/>
          <w:szCs w:val="20"/>
        </w:rPr>
        <w:t>Therefore,</w:t>
      </w:r>
      <w:r>
        <w:rPr>
          <w:rFonts w:hint="eastAsia" w:eastAsia="微软雅黑"/>
          <w:szCs w:val="20"/>
        </w:rPr>
        <w:t xml:space="preserve"> the maximum size of the subset of candidate cells which require TA acquisition should be at most 4.</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2262505" cy="2072640"/>
            <wp:effectExtent l="0" t="0" r="4445" b="3810"/>
            <wp:docPr id="3" name="图片 3" descr="normal-cha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ormal-chart-2"/>
                    <pic:cNvPicPr>
                      <a:picLocks noChangeAspect="1"/>
                    </pic:cNvPicPr>
                  </pic:nvPicPr>
                  <pic:blipFill>
                    <a:blip r:embed="rId5"/>
                    <a:stretch>
                      <a:fillRect/>
                    </a:stretch>
                  </pic:blipFill>
                  <pic:spPr>
                    <a:xfrm>
                      <a:off x="0" y="0"/>
                      <a:ext cx="2262505" cy="2072640"/>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Deployment scenarios for inter-cell mobility</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For TA acquisition of candidate cell(s), support to acquire TA of a subset of configured candidate cells.</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Rule for determining the subset of candidate cells.</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Maximum size of the subset of candidate cells, e.g., 3 or 4.</w:t>
      </w:r>
    </w:p>
    <w:p>
      <w:pPr>
        <w:snapToGrid w:val="0"/>
        <w:spacing w:before="72" w:beforeLines="30" w:after="72" w:afterLines="30" w:line="288" w:lineRule="auto"/>
        <w:jc w:val="both"/>
        <w:rPr>
          <w:rFonts w:eastAsia="宋体"/>
        </w:rPr>
      </w:pPr>
      <w:r>
        <w:rPr>
          <w:rFonts w:hint="eastAsia" w:eastAsia="宋体"/>
        </w:rPr>
        <w:t>In the legacy specification, TAG is applied to manage TA for multiple serving cells in a cell group. For L1/L2 triggered mobility, whether to acquire one or more TAs for a candidate cell is determined by the framework of candidate cell configuration.</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If only serving cell is configured for a candidate cell, each candidate cell requires to acquire one TA and the acquired TA can be associate with the corresponding candidate cell directly.</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If a cell group is configured for a candidate cell, the number of acquired TAs is related to the number of TAGs.</w:t>
      </w:r>
    </w:p>
    <w:p>
      <w:pPr>
        <w:pStyle w:val="111"/>
        <w:numPr>
          <w:ilvl w:val="2"/>
          <w:numId w:val="13"/>
        </w:numPr>
        <w:snapToGrid w:val="0"/>
        <w:spacing w:before="72" w:beforeLines="30" w:after="72" w:afterLines="30" w:line="288" w:lineRule="auto"/>
        <w:ind w:left="1259" w:firstLineChars="0"/>
        <w:jc w:val="both"/>
        <w:rPr>
          <w:rFonts w:eastAsia="宋体"/>
        </w:rPr>
      </w:pPr>
      <w:r>
        <w:rPr>
          <w:rFonts w:hint="eastAsia" w:eastAsia="宋体"/>
        </w:rPr>
        <w:t>If the whole cell group is configured with the same TAG, only one TA is needed then. TA acquisition can be operated in PCell only and the acquired TA is shared by all serving cells in the TAG, which means that it will not bring additional complexity compared with the case that only one serving cell is configured for a candidate cell.</w:t>
      </w:r>
    </w:p>
    <w:p>
      <w:pPr>
        <w:pStyle w:val="111"/>
        <w:numPr>
          <w:ilvl w:val="2"/>
          <w:numId w:val="13"/>
        </w:numPr>
        <w:snapToGrid w:val="0"/>
        <w:spacing w:before="72" w:beforeLines="30" w:after="72" w:afterLines="30" w:line="288" w:lineRule="auto"/>
        <w:ind w:left="1259" w:firstLineChars="0"/>
        <w:jc w:val="both"/>
        <w:rPr>
          <w:rFonts w:eastAsia="宋体"/>
        </w:rPr>
      </w:pPr>
      <w:r>
        <w:rPr>
          <w:rFonts w:hint="eastAsia" w:eastAsia="宋体"/>
        </w:rPr>
        <w:t>If more than one TAGs are configured for the cell group, TA acquisition based on the framework of TAG should be applied. It should be noted that TA acquisition latency for multiple TAGs is much larger than that for only one TAG due to TA acquisition has to be operated for each TAG individually.</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 xml:space="preserve">As one may argue that MTRP operation should be considered for candidate cell due to the discussion on two TAs enhancement in another agenda item, and then more than one TAs are required for a candidate cell. </w:t>
      </w:r>
      <w:r>
        <w:rPr>
          <w:rFonts w:eastAsia="宋体"/>
        </w:rPr>
        <w:t>However,</w:t>
      </w:r>
      <w:r>
        <w:rPr>
          <w:rFonts w:hint="eastAsia" w:eastAsia="宋体"/>
        </w:rPr>
        <w:t xml:space="preserve"> such scenario seems unnecessary, especially at the beginning of the discussion on L1/L2 triggered mobility. In one aspect, single TRP scenario should be considered as a starting point since it is the typical and essential scenario in reality. In another aspect, latency reduction of TA management is the main target for L1/L2 triggered mobility, and taking MTRP operation into consideration will complicate the discussion of L1/L2 triggered mobility. </w:t>
      </w:r>
      <w:r>
        <w:rPr>
          <w:rFonts w:eastAsia="宋体"/>
        </w:rPr>
        <w:t>Therefore,</w:t>
      </w:r>
      <w:r>
        <w:rPr>
          <w:rFonts w:hint="eastAsia" w:eastAsia="宋体"/>
        </w:rPr>
        <w:t xml:space="preserve"> we tend to discuss the issue of typical L1/L2 triggered mobility scenario firstly at this stage and discuss MTRP scenario after the overall L1/L2 triggered mobility design is completed or stabilized.</w:t>
      </w:r>
    </w:p>
    <w:p>
      <w:pPr>
        <w:pStyle w:val="111"/>
        <w:snapToGrid w:val="0"/>
        <w:spacing w:before="72" w:beforeLines="30" w:after="72" w:afterLines="30" w:line="288" w:lineRule="auto"/>
        <w:ind w:firstLine="0" w:firstLineChars="0"/>
        <w:jc w:val="both"/>
        <w:rPr>
          <w:rFonts w:eastAsia="宋体"/>
        </w:rPr>
      </w:pPr>
      <w:r>
        <w:rPr>
          <w:rFonts w:hint="eastAsia" w:eastAsia="宋体"/>
        </w:rPr>
        <w:t>Based on the analysis above, acquiring one TA for a candidate cell should be considered as a starting point to not introduce much complexity and latency to TA management in L1/L2 triggered mobility.</w:t>
      </w:r>
    </w:p>
    <w:p>
      <w:pPr>
        <w:snapToGrid w:val="0"/>
        <w:spacing w:before="72" w:beforeLines="30" w:after="72" w:afterLines="30" w:line="288" w:lineRule="auto"/>
        <w:jc w:val="both"/>
        <w:rPr>
          <w:rFonts w:eastAsia="宋体"/>
          <w:i/>
          <w:iCs/>
        </w:rPr>
      </w:pPr>
      <w:r>
        <w:rPr>
          <w:rFonts w:hint="eastAsia" w:eastAsia="宋体"/>
          <w:b/>
          <w:bCs/>
          <w:i/>
          <w:iCs/>
        </w:rPr>
        <w:t>Proposal 3:</w:t>
      </w:r>
      <w:r>
        <w:rPr>
          <w:rFonts w:hint="eastAsia" w:eastAsia="宋体"/>
          <w:i/>
          <w:iCs/>
        </w:rPr>
        <w:t xml:space="preserve"> For TA acquisition of candidate cell(s), support to acquire one TA of a candidate cell.</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Whether to acquire more than one TAs of a candidate cell, wherein each TA is associated with a TAG.</w:t>
      </w:r>
    </w:p>
    <w:p>
      <w:pPr>
        <w:snapToGrid w:val="0"/>
        <w:spacing w:before="72" w:beforeLines="30" w:after="72" w:afterLines="30" w:line="288" w:lineRule="auto"/>
        <w:jc w:val="both"/>
        <w:rPr>
          <w:rFonts w:eastAsia="宋体"/>
        </w:rPr>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Mechanism to acquire TA</w:t>
      </w:r>
    </w:p>
    <w:p>
      <w:pPr>
        <w:pStyle w:val="111"/>
        <w:snapToGrid w:val="0"/>
        <w:spacing w:before="72" w:beforeLines="30" w:after="72" w:afterLines="30" w:line="288" w:lineRule="auto"/>
        <w:ind w:firstLine="0" w:firstLineChars="0"/>
        <w:jc w:val="both"/>
        <w:rPr>
          <w:rFonts w:eastAsia="宋体"/>
        </w:rPr>
      </w:pPr>
      <w:r>
        <w:rPr>
          <w:rFonts w:hint="eastAsia" w:eastAsia="宋体"/>
        </w:rPr>
        <w:t>In RAN1#110b-e meeting, the following agreement on TA acquisition of candidate cell(s) was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napToGrid w:val="0"/>
              <w:spacing w:before="72" w:beforeLines="30" w:after="72" w:afterLines="30" w:line="288" w:lineRule="auto"/>
              <w:jc w:val="both"/>
              <w:rPr>
                <w:rFonts w:eastAsia="宋体"/>
              </w:rPr>
            </w:pPr>
            <w:r>
              <w:rPr>
                <w:rFonts w:eastAsia="宋体"/>
              </w:rPr>
              <w:t>On mechanism to acquire TA of the candidate cells, the following solutions can be further studied:</w:t>
            </w:r>
          </w:p>
          <w:p>
            <w:pPr>
              <w:numPr>
                <w:ilvl w:val="0"/>
                <w:numId w:val="11"/>
              </w:numPr>
              <w:spacing w:before="72" w:beforeLines="30" w:after="72" w:afterLines="30" w:line="288" w:lineRule="auto"/>
              <w:ind w:left="400" w:hanging="400" w:hangingChars="200"/>
              <w:rPr>
                <w:rFonts w:eastAsia="宋体"/>
              </w:rPr>
            </w:pPr>
            <w:r>
              <w:rPr>
                <w:rFonts w:eastAsia="宋体"/>
              </w:rPr>
              <w:t>RACH-based solutions</w:t>
            </w:r>
          </w:p>
          <w:p>
            <w:pPr>
              <w:spacing w:before="72" w:beforeLines="30" w:after="72" w:afterLines="30" w:line="288" w:lineRule="auto"/>
              <w:ind w:left="400" w:leftChars="200"/>
              <w:rPr>
                <w:rFonts w:eastAsia="宋体"/>
              </w:rPr>
            </w:pPr>
            <w:r>
              <w:rPr>
                <w:rFonts w:eastAsia="宋体"/>
              </w:rPr>
              <w:t>e.g., PDCCH ordered RACH, UE-triggered RACH, higher layer triggered RACH from NW other than L3 HO cmd</w:t>
            </w:r>
          </w:p>
          <w:p>
            <w:pPr>
              <w:numPr>
                <w:ilvl w:val="0"/>
                <w:numId w:val="11"/>
              </w:numPr>
              <w:spacing w:before="72" w:beforeLines="30" w:after="72" w:afterLines="30" w:line="288" w:lineRule="auto"/>
              <w:ind w:left="400" w:hanging="400" w:hangingChars="200"/>
              <w:rPr>
                <w:rFonts w:eastAsia="宋体"/>
              </w:rPr>
            </w:pPr>
            <w:r>
              <w:rPr>
                <w:rFonts w:eastAsia="宋体"/>
              </w:rPr>
              <w:t>RACH-less solutions</w:t>
            </w:r>
          </w:p>
          <w:p>
            <w:pPr>
              <w:snapToGrid w:val="0"/>
              <w:spacing w:before="72" w:beforeLines="30" w:after="72" w:afterLines="30" w:line="288" w:lineRule="auto"/>
              <w:ind w:left="400" w:leftChars="200"/>
              <w:jc w:val="both"/>
              <w:rPr>
                <w:rFonts w:eastAsia="宋体"/>
              </w:rPr>
            </w:pPr>
            <w:r>
              <w:rPr>
                <w:rFonts w:eastAsia="宋体"/>
              </w:rPr>
              <w:t>e.g., SRS based TA acquisition, Rx timing difference based, RACH-less mechanism as in LTE,</w:t>
            </w:r>
            <w:r>
              <w:rPr>
                <w:rFonts w:hint="eastAsia" w:eastAsia="宋体"/>
              </w:rPr>
              <w:t xml:space="preserve"> </w:t>
            </w:r>
            <w:r>
              <w:rPr>
                <w:rFonts w:eastAsia="宋体"/>
              </w:rPr>
              <w:t>UE based TA measurement (including UE based TA measurement with one TAC from serving cell)</w:t>
            </w:r>
          </w:p>
        </w:tc>
      </w:tr>
    </w:tbl>
    <w:p>
      <w:pPr>
        <w:numPr>
          <w:ilvl w:val="0"/>
          <w:numId w:val="14"/>
        </w:numPr>
        <w:snapToGrid w:val="0"/>
        <w:spacing w:before="72" w:beforeLines="30" w:after="72" w:afterLines="30" w:line="288" w:lineRule="auto"/>
        <w:jc w:val="both"/>
        <w:rPr>
          <w:rFonts w:eastAsia="宋体"/>
          <w:b/>
          <w:bCs/>
        </w:rPr>
      </w:pPr>
      <w:r>
        <w:rPr>
          <w:rFonts w:hint="eastAsia" w:eastAsia="宋体"/>
          <w:b/>
          <w:bCs/>
        </w:rPr>
        <w:t>RACH-based solutions</w:t>
      </w:r>
    </w:p>
    <w:p>
      <w:pPr>
        <w:snapToGrid w:val="0"/>
        <w:spacing w:before="72" w:beforeLines="30" w:after="72" w:afterLines="30" w:line="288" w:lineRule="auto"/>
        <w:ind w:left="-60"/>
        <w:jc w:val="both"/>
        <w:rPr>
          <w:rFonts w:eastAsia="宋体"/>
        </w:rPr>
      </w:pPr>
      <w:r>
        <w:rPr>
          <w:rFonts w:hint="eastAsia" w:eastAsia="宋体"/>
        </w:rPr>
        <w:t>For UE-triggered RACH, UE is required to perform SSB based measurement (i.e.</w:t>
      </w:r>
      <w:r>
        <w:rPr>
          <w:rFonts w:hint="eastAsia" w:eastAsia="宋体"/>
          <w:lang w:val="en-US" w:eastAsia="zh-CN"/>
        </w:rPr>
        <w:t>,</w:t>
      </w:r>
      <w:r>
        <w:rPr>
          <w:rFonts w:hint="eastAsia" w:eastAsia="宋体"/>
        </w:rPr>
        <w:t xml:space="preserve"> RSRP) to determine a PRACH occasion for preamble transmission. If RACH procedures are required for multiple candidate cells, it seems that SSB measurement for all candidate cells is extremely complicated and time-consuming. Moreover, we think that it is not clear till now on candidate cell configuration and corresponding measurement configuration, so it is hard to justify the impact of different candidate cell configuration and related measurement configuration in UE-triggered RACH procedure. For instance, if PRACH configuration for each candidate cell is to be configured, the RRC signaling overhead might be so huge.</w:t>
      </w:r>
    </w:p>
    <w:p>
      <w:pPr>
        <w:snapToGrid w:val="0"/>
        <w:spacing w:before="72" w:beforeLines="30" w:after="72" w:afterLines="30" w:line="288" w:lineRule="auto"/>
        <w:ind w:left="-60"/>
        <w:jc w:val="both"/>
        <w:rPr>
          <w:rFonts w:eastAsia="宋体"/>
          <w:i/>
          <w:iCs/>
        </w:rPr>
      </w:pPr>
      <w:r>
        <w:rPr>
          <w:rFonts w:hint="eastAsia" w:eastAsia="宋体"/>
          <w:b/>
          <w:bCs/>
          <w:i/>
          <w:iCs/>
        </w:rPr>
        <w:t>Observation 1:</w:t>
      </w:r>
      <w:r>
        <w:rPr>
          <w:rFonts w:hint="eastAsia" w:eastAsia="宋体"/>
          <w:i/>
          <w:iCs/>
        </w:rPr>
        <w:t xml:space="preserve"> UE-triggered RACH procedure to acquire TA for candidate cells can be time-consuming.</w:t>
      </w:r>
    </w:p>
    <w:p>
      <w:pPr>
        <w:snapToGrid w:val="0"/>
        <w:spacing w:before="72" w:beforeLines="30" w:after="72" w:afterLines="30" w:line="288" w:lineRule="auto"/>
        <w:ind w:left="-60"/>
        <w:jc w:val="both"/>
        <w:rPr>
          <w:rFonts w:eastAsia="宋体"/>
        </w:rPr>
      </w:pPr>
      <w:r>
        <w:rPr>
          <w:rFonts w:hint="eastAsia" w:eastAsia="宋体"/>
        </w:rPr>
        <w:t>For PDCCH order based RACH, UE can determine the PRACH occasion and the transmitted preamble directly based on the indication fields of PDCCH order. Without determination of the preamble index and the PRACH occasion by UE, timing advance acquisition can cost less time duration compared with UE-triggered RACH.</w:t>
      </w:r>
    </w:p>
    <w:p>
      <w:pPr>
        <w:snapToGrid w:val="0"/>
        <w:spacing w:before="72" w:beforeLines="30" w:after="72" w:afterLines="30" w:line="288" w:lineRule="auto"/>
        <w:ind w:left="-60"/>
        <w:jc w:val="both"/>
        <w:rPr>
          <w:rFonts w:eastAsia="宋体"/>
        </w:rPr>
      </w:pPr>
      <w:r>
        <w:rPr>
          <w:rFonts w:hint="eastAsia" w:eastAsia="宋体"/>
        </w:rPr>
        <w:t xml:space="preserve">Meanwhile, as analyzed in sub-section 2.2, TA acquisition should be operated for a subset of candidate cells. In such case, PDCCH order can be extended to indicate UE the candidate cell which requires TA acquisition and a new signaling to inform UE the subset of candidate cells is not needed. </w:t>
      </w:r>
    </w:p>
    <w:p>
      <w:pPr>
        <w:snapToGrid w:val="0"/>
        <w:spacing w:before="72" w:beforeLines="30" w:after="72" w:afterLines="30" w:line="288" w:lineRule="auto"/>
        <w:ind w:left="-60"/>
        <w:jc w:val="both"/>
        <w:rPr>
          <w:rFonts w:eastAsia="宋体"/>
        </w:rPr>
      </w:pPr>
      <w:r>
        <w:rPr>
          <w:rFonts w:hint="eastAsia" w:eastAsia="宋体"/>
          <w:b/>
          <w:bCs/>
          <w:i/>
          <w:iCs/>
        </w:rPr>
        <w:t>Proposal 4:</w:t>
      </w:r>
      <w:r>
        <w:rPr>
          <w:rFonts w:hint="eastAsia" w:eastAsia="宋体"/>
          <w:i/>
          <w:iCs/>
        </w:rPr>
        <w:t xml:space="preserve"> PDCCH order based RACH should be supported to acquire timing advance for the candidate cells.</w:t>
      </w:r>
    </w:p>
    <w:p>
      <w:pPr>
        <w:snapToGrid w:val="0"/>
        <w:spacing w:before="72" w:beforeLines="30" w:after="72" w:afterLines="30" w:line="288" w:lineRule="auto"/>
        <w:ind w:left="-60"/>
        <w:jc w:val="both"/>
        <w:rPr>
          <w:rFonts w:eastAsia="宋体"/>
        </w:rPr>
      </w:pPr>
      <w:r>
        <w:rPr>
          <w:rFonts w:hint="eastAsia" w:eastAsia="宋体"/>
        </w:rPr>
        <w:t>As the detailed configurations related to DL/UL synchronization in the pre-configuration for cell switch has not been clarified by RAN2 until now, and it is not clear whether both UL and UL synchronization for candidate cells can be completed before cell switching, the following analysis represents our initial views at this stage. If UE does not receive RRC messages indicative of search space or CORESET to receive downlink messages from candidate cells, UE should be capable of receiving RAR associated with candidate cells by utilizing search spaces configured for source cell. If search space or CORESET is configured for each candidate cell, detecting PDCCH order in all configured search spaces is a challenging work to UE. Based on the analysis above, PDCCH order from the source cell should be allowed to trigger random access procedures for candidate cells.</w:t>
      </w:r>
    </w:p>
    <w:p>
      <w:pPr>
        <w:snapToGrid w:val="0"/>
        <w:spacing w:before="72" w:beforeLines="30" w:after="72" w:afterLines="30" w:line="288" w:lineRule="auto"/>
        <w:ind w:left="-60"/>
        <w:jc w:val="both"/>
        <w:rPr>
          <w:rFonts w:eastAsia="宋体"/>
        </w:rPr>
      </w:pPr>
      <w:r>
        <w:rPr>
          <w:rFonts w:hint="eastAsia" w:eastAsia="宋体"/>
          <w:b/>
          <w:bCs/>
          <w:i/>
          <w:iCs/>
        </w:rPr>
        <w:t>Proposal 5:</w:t>
      </w:r>
      <w:r>
        <w:rPr>
          <w:rFonts w:hint="eastAsia" w:eastAsia="宋体"/>
          <w:i/>
          <w:iCs/>
        </w:rPr>
        <w:t xml:space="preserve"> PDCCH order command from source cell can trigger RACH procedures for candidate cells.</w:t>
      </w:r>
    </w:p>
    <w:p>
      <w:pPr>
        <w:numPr>
          <w:ilvl w:val="0"/>
          <w:numId w:val="14"/>
        </w:numPr>
        <w:snapToGrid w:val="0"/>
        <w:spacing w:before="72" w:beforeLines="30" w:after="72" w:afterLines="30" w:line="288" w:lineRule="auto"/>
        <w:jc w:val="both"/>
        <w:rPr>
          <w:rFonts w:eastAsia="宋体"/>
          <w:b/>
          <w:bCs/>
        </w:rPr>
      </w:pPr>
      <w:r>
        <w:rPr>
          <w:rFonts w:hint="eastAsia" w:eastAsia="宋体"/>
          <w:b/>
          <w:bCs/>
        </w:rPr>
        <w:t>RACH-less solutions</w:t>
      </w:r>
    </w:p>
    <w:p>
      <w:pPr>
        <w:snapToGrid w:val="0"/>
        <w:spacing w:before="72" w:beforeLines="30" w:after="72" w:afterLines="30" w:line="288" w:lineRule="auto"/>
        <w:ind w:left="-60"/>
        <w:jc w:val="both"/>
        <w:rPr>
          <w:rFonts w:eastAsia="宋体"/>
        </w:rPr>
      </w:pPr>
      <w:r>
        <w:rPr>
          <w:rFonts w:hint="eastAsia" w:eastAsia="宋体"/>
        </w:rPr>
        <w:t>Noted that RACH-based solutions might have large latency due to PRACH must be transmitted in a specific PRACH occasion among all valid PRACH occasions within a period, but they have high reliability instead. Whether RACH-less solutions for L1/L2 triggered mobility can have low latency and high reliability needs to be considered.</w:t>
      </w:r>
    </w:p>
    <w:p>
      <w:pPr>
        <w:snapToGrid w:val="0"/>
        <w:spacing w:before="72" w:beforeLines="30" w:after="72" w:afterLines="30" w:line="288" w:lineRule="auto"/>
        <w:ind w:left="-60"/>
        <w:jc w:val="both"/>
        <w:rPr>
          <w:rFonts w:eastAsia="宋体"/>
        </w:rPr>
      </w:pPr>
      <w:r>
        <w:rPr>
          <w:rFonts w:eastAsia="宋体"/>
        </w:rPr>
        <w:t>RACH-less mechanism in LTE</w:t>
      </w:r>
      <w:r>
        <w:rPr>
          <w:rFonts w:hint="eastAsia" w:eastAsia="宋体"/>
        </w:rPr>
        <w:t xml:space="preserve"> is specific to some scenarios, e.g.</w:t>
      </w:r>
      <w:r>
        <w:rPr>
          <w:rFonts w:hint="eastAsia" w:eastAsia="宋体"/>
          <w:lang w:val="en-US" w:eastAsia="zh-CN"/>
        </w:rPr>
        <w:t>,</w:t>
      </w:r>
      <w:r>
        <w:rPr>
          <w:rFonts w:hint="eastAsia" w:eastAsia="宋体"/>
        </w:rPr>
        <w:t xml:space="preserve"> small cell or </w:t>
      </w:r>
      <w:r>
        <w:rPr>
          <w:lang w:val="en-GB"/>
        </w:rPr>
        <w:t xml:space="preserve">co-located </w:t>
      </w:r>
      <w:r>
        <w:rPr>
          <w:rFonts w:hint="eastAsia" w:eastAsia="宋体"/>
        </w:rPr>
        <w:t>source/</w:t>
      </w:r>
      <w:r>
        <w:rPr>
          <w:lang w:val="en-GB"/>
        </w:rPr>
        <w:t>target cells</w:t>
      </w:r>
      <w:r>
        <w:rPr>
          <w:rFonts w:hint="eastAsia" w:eastAsia="宋体"/>
        </w:rPr>
        <w:t>, where the TA for candidate cell is the same as that for source cell or equal to 0. In this method, the latency of acquiring TA of candidate cells is 0 in principle. However, for other typical scenarios, TA acquisition solutions except this should be considered.</w:t>
      </w:r>
    </w:p>
    <w:p>
      <w:pPr>
        <w:snapToGrid w:val="0"/>
        <w:spacing w:before="72" w:beforeLines="30" w:after="72" w:afterLines="30" w:line="288" w:lineRule="auto"/>
        <w:ind w:left="-60"/>
        <w:jc w:val="both"/>
        <w:rPr>
          <w:rFonts w:eastAsia="宋体"/>
          <w:i/>
          <w:iCs/>
        </w:rPr>
      </w:pPr>
      <w:r>
        <w:rPr>
          <w:rFonts w:hint="eastAsia" w:eastAsia="宋体"/>
          <w:b/>
          <w:bCs/>
          <w:i/>
          <w:iCs/>
        </w:rPr>
        <w:t>Proposal 6:</w:t>
      </w:r>
      <w:r>
        <w:rPr>
          <w:rFonts w:hint="eastAsia" w:eastAsia="宋体"/>
          <w:i/>
          <w:iCs/>
        </w:rPr>
        <w:t xml:space="preserve"> RACH-less mechanism in LTE can be supported for L1/L2 triggered mobility TA acquisition if target cell is small cell or source and target cells belong to the same TAG.</w:t>
      </w:r>
    </w:p>
    <w:p>
      <w:pPr>
        <w:numPr>
          <w:ilvl w:val="0"/>
          <w:numId w:val="15"/>
        </w:numPr>
        <w:snapToGrid w:val="0"/>
        <w:spacing w:before="72" w:beforeLines="30" w:after="72" w:afterLines="30" w:line="288" w:lineRule="auto"/>
        <w:jc w:val="both"/>
        <w:rPr>
          <w:rFonts w:eastAsia="宋体"/>
        </w:rPr>
      </w:pPr>
      <w:r>
        <w:rPr>
          <w:rFonts w:eastAsia="宋体"/>
        </w:rPr>
        <w:t>SRS based TA acquisition</w:t>
      </w:r>
    </w:p>
    <w:p>
      <w:pPr>
        <w:snapToGrid w:val="0"/>
        <w:spacing w:before="72" w:beforeLines="30" w:after="72" w:afterLines="30" w:line="288" w:lineRule="auto"/>
        <w:ind w:left="-60"/>
        <w:jc w:val="both"/>
        <w:rPr>
          <w:rFonts w:eastAsia="宋体"/>
        </w:rPr>
      </w:pPr>
      <w:r>
        <w:rPr>
          <w:rFonts w:hint="eastAsia" w:eastAsia="宋体"/>
        </w:rPr>
        <w:t>For TA updating after initial TA has been acquired in legacy TA framework, PUSCH/</w:t>
      </w:r>
      <w:r>
        <w:rPr>
          <w:rFonts w:eastAsia="宋体"/>
        </w:rPr>
        <w:t>SRS based TA acquisition</w:t>
      </w:r>
      <w:r>
        <w:rPr>
          <w:rFonts w:hint="eastAsia" w:eastAsia="宋体"/>
        </w:rPr>
        <w:t xml:space="preserve"> can be applied based on network implementation, where network determines TA based on the reception of SRS from UE and indicates TAC to UE. </w:t>
      </w:r>
    </w:p>
    <w:p>
      <w:pPr>
        <w:snapToGrid w:val="0"/>
        <w:spacing w:before="72" w:beforeLines="30" w:after="72" w:afterLines="30" w:line="288" w:lineRule="auto"/>
        <w:ind w:left="-60"/>
        <w:jc w:val="both"/>
        <w:rPr>
          <w:rFonts w:eastAsia="宋体"/>
        </w:rPr>
      </w:pPr>
      <w:r>
        <w:rPr>
          <w:rFonts w:hint="eastAsia" w:eastAsia="宋体"/>
        </w:rPr>
        <w:t>If the similar method is applied for L1/L2 triggered mobility, some potential methods or enhancements should be considered as follows.</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To reuse legacy SRS resources or configure dedicated SRS resources additionally for TA acquisition.</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Source cell should be informed the reception timing of SRS measured by the candidate cell.</w:t>
      </w:r>
    </w:p>
    <w:p>
      <w:pPr>
        <w:pStyle w:val="111"/>
        <w:numPr>
          <w:ilvl w:val="1"/>
          <w:numId w:val="13"/>
        </w:numPr>
        <w:snapToGrid w:val="0"/>
        <w:spacing w:before="72" w:beforeLines="30" w:after="72" w:afterLines="30" w:line="288" w:lineRule="auto"/>
        <w:ind w:left="839" w:firstLineChars="0"/>
        <w:jc w:val="both"/>
        <w:rPr>
          <w:rFonts w:eastAsia="宋体"/>
        </w:rPr>
      </w:pPr>
      <w:r>
        <w:rPr>
          <w:rFonts w:hint="eastAsia" w:eastAsia="宋体"/>
        </w:rPr>
        <w:t>To indicate TA by TAC MAC CE as legacy or a new signaling.</w:t>
      </w:r>
    </w:p>
    <w:p>
      <w:pPr>
        <w:snapToGrid w:val="0"/>
        <w:spacing w:before="72" w:beforeLines="30" w:after="72" w:afterLines="30" w:line="288" w:lineRule="auto"/>
        <w:ind w:left="-60"/>
        <w:jc w:val="both"/>
        <w:rPr>
          <w:rFonts w:eastAsia="宋体"/>
        </w:rPr>
      </w:pPr>
      <w:r>
        <w:rPr>
          <w:rFonts w:hint="eastAsia" w:eastAsia="宋体"/>
        </w:rPr>
        <w:t>The latency of RACH-based solution results from determining available PRACH occasion for PRACH transmission and receiving RAR, and the latency of SRS based solution results from determining transmission of SRS and receiving TAC MAC CE. It cannot to conclude whether SRS based solution has lower latency than RACH-based solution unless the potential enhancements mentioned above have been taken into account.</w:t>
      </w:r>
    </w:p>
    <w:p>
      <w:pPr>
        <w:numPr>
          <w:ilvl w:val="0"/>
          <w:numId w:val="15"/>
        </w:numPr>
        <w:snapToGrid w:val="0"/>
        <w:spacing w:before="72" w:beforeLines="30" w:after="72" w:afterLines="30" w:line="288" w:lineRule="auto"/>
        <w:jc w:val="both"/>
        <w:rPr>
          <w:rFonts w:eastAsia="宋体"/>
        </w:rPr>
      </w:pPr>
      <w:r>
        <w:rPr>
          <w:rFonts w:eastAsia="宋体"/>
        </w:rPr>
        <w:t>Rx timing difference based</w:t>
      </w:r>
    </w:p>
    <w:p>
      <w:pPr>
        <w:snapToGrid w:val="0"/>
        <w:spacing w:before="72" w:beforeLines="30" w:after="72" w:afterLines="30" w:line="288" w:lineRule="auto"/>
        <w:ind w:left="-60"/>
        <w:jc w:val="both"/>
        <w:rPr>
          <w:rFonts w:eastAsia="宋体"/>
        </w:rPr>
      </w:pPr>
      <w:r>
        <w:rPr>
          <w:rFonts w:hint="eastAsia" w:eastAsia="宋体"/>
        </w:rPr>
        <w:t>If DL synchronization for a candidate cell has been completed before UL synchronization, basically it can be supposed that the corresponding DL timing has been achieved by UE, hence TA of a candidate cell can be determined based on the TA of source cell and Rx timing difference between source cell and the candidate cell.</w:t>
      </w:r>
    </w:p>
    <w:p>
      <w:pPr>
        <w:snapToGrid w:val="0"/>
        <w:spacing w:before="72" w:beforeLines="30" w:after="72" w:afterLines="30" w:line="288" w:lineRule="auto"/>
        <w:ind w:left="-60"/>
        <w:jc w:val="both"/>
        <w:rPr>
          <w:rFonts w:eastAsia="宋体"/>
        </w:rPr>
      </w:pPr>
      <w:r>
        <w:rPr>
          <w:rFonts w:eastAsia="宋体"/>
        </w:rPr>
        <w:t xml:space="preserve">Basically, </w:t>
      </w:r>
      <w:r>
        <w:rPr>
          <w:rFonts w:hint="eastAsia" w:eastAsia="宋体"/>
        </w:rPr>
        <w:t xml:space="preserve">for RACH-based or SRS based TA acquisition solutions, </w:t>
      </w:r>
      <w:r>
        <w:rPr>
          <w:rFonts w:eastAsia="宋体"/>
        </w:rPr>
        <w:t xml:space="preserve">the </w:t>
      </w:r>
      <w:r>
        <w:rPr>
          <w:rFonts w:hint="eastAsia" w:eastAsia="宋体"/>
        </w:rPr>
        <w:t xml:space="preserve">TA </w:t>
      </w:r>
      <w:r>
        <w:rPr>
          <w:rFonts w:eastAsia="宋体"/>
        </w:rPr>
        <w:t>is determined by the network</w:t>
      </w:r>
      <w:r>
        <w:rPr>
          <w:rFonts w:hint="eastAsia" w:eastAsia="宋体"/>
        </w:rPr>
        <w:t xml:space="preserve"> through uplink signal measurement</w:t>
      </w:r>
      <w:r>
        <w:rPr>
          <w:rFonts w:eastAsia="宋体"/>
        </w:rPr>
        <w:t>. As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ind w:left="-60"/>
        <w:jc w:val="both"/>
        <w:rPr>
          <w:rFonts w:eastAsia="宋体"/>
        </w:rPr>
      </w:pPr>
      <w:r>
        <w:rPr>
          <w:rFonts w:eastAsia="宋体"/>
        </w:rPr>
        <w:t xml:space="preserve">Alternatively, if the determination of </w:t>
      </w:r>
      <w:r>
        <w:rPr>
          <w:rFonts w:hint="eastAsia" w:eastAsia="宋体"/>
        </w:rPr>
        <w:t>TA</w:t>
      </w:r>
      <w:r>
        <w:rPr>
          <w:rFonts w:eastAsia="宋体"/>
        </w:rPr>
        <w:t xml:space="preserve"> is up to UE and based on the </w:t>
      </w:r>
      <w:r>
        <w:rPr>
          <w:rFonts w:hint="eastAsia" w:eastAsia="宋体"/>
        </w:rPr>
        <w:t xml:space="preserve">Rx timing </w:t>
      </w:r>
      <w:r>
        <w:rPr>
          <w:rFonts w:eastAsia="宋体"/>
        </w:rPr>
        <w:t xml:space="preserve">difference </w:t>
      </w:r>
      <w:r>
        <w:rPr>
          <w:rFonts w:hint="eastAsia" w:eastAsia="宋体"/>
        </w:rPr>
        <w:t>between source cell and candidate cell</w:t>
      </w:r>
      <w:r>
        <w:rPr>
          <w:rFonts w:eastAsia="宋体"/>
        </w:rPr>
        <w:t xml:space="preserve">, </w:t>
      </w:r>
      <w:r>
        <w:rPr>
          <w:rFonts w:hint="eastAsia" w:eastAsia="宋体"/>
        </w:rPr>
        <w:t>TA difference</w:t>
      </w:r>
      <w:r>
        <w:rPr>
          <w:rFonts w:eastAsia="宋体"/>
        </w:rPr>
        <w:t xml:space="preserve"> </w:t>
      </w:r>
      <w:r>
        <w:rPr>
          <w:rFonts w:hint="eastAsia" w:eastAsia="宋体"/>
        </w:rPr>
        <w:t>between source cell and candidate cell</w:t>
      </w:r>
      <w:r>
        <w:rPr>
          <w:rFonts w:eastAsia="宋体"/>
        </w:rPr>
        <w:t xml:space="preserve"> might </w:t>
      </w:r>
      <w:r>
        <w:rPr>
          <w:rFonts w:hint="eastAsia" w:eastAsia="宋体"/>
        </w:rPr>
        <w:t xml:space="preserve">simply </w:t>
      </w:r>
      <w:r>
        <w:rPr>
          <w:rFonts w:eastAsia="宋体"/>
        </w:rPr>
        <w:t xml:space="preserve">be twice of the </w:t>
      </w:r>
      <w:r>
        <w:rPr>
          <w:rFonts w:hint="eastAsia" w:eastAsia="宋体"/>
        </w:rPr>
        <w:t xml:space="preserve">Rx timing </w:t>
      </w:r>
      <w:r>
        <w:rPr>
          <w:rFonts w:eastAsia="宋体"/>
        </w:rPr>
        <w:t xml:space="preserve">difference assuming the same values of downlink and uplink propagation delay. The determination above might be inappropriate when the values of downlink and uplink propagation delay are different (e.g., corresponding to different physical path in a separate TCI indication). Hence </w:t>
      </w:r>
      <w:r>
        <w:rPr>
          <w:rFonts w:hint="eastAsia" w:eastAsia="宋体"/>
        </w:rPr>
        <w:t>TA acquisition</w:t>
      </w:r>
      <w:r>
        <w:rPr>
          <w:rFonts w:eastAsia="宋体"/>
        </w:rPr>
        <w:t xml:space="preserve"> by the network would be more reliable than that by the UE.</w:t>
      </w:r>
    </w:p>
    <w:p>
      <w:pPr>
        <w:snapToGrid w:val="0"/>
        <w:spacing w:before="72" w:beforeLines="30" w:after="72" w:afterLines="30" w:line="288" w:lineRule="auto"/>
        <w:ind w:left="-60"/>
        <w:jc w:val="both"/>
        <w:rPr>
          <w:rFonts w:eastAsia="宋体"/>
        </w:rPr>
      </w:pPr>
      <w:r>
        <w:rPr>
          <w:rFonts w:hint="eastAsia" w:eastAsia="宋体"/>
        </w:rPr>
        <w:t>TA related assistance information from network can improve reliability of Rx timing difference based solution to a certain extent, however</w:t>
      </w:r>
      <w:r>
        <w:rPr>
          <w:rFonts w:hint="eastAsia" w:eastAsia="宋体"/>
          <w:lang w:val="en-US" w:eastAsia="zh-CN"/>
        </w:rPr>
        <w:t xml:space="preserve"> </w:t>
      </w:r>
      <w:r>
        <w:rPr>
          <w:rFonts w:hint="eastAsia" w:eastAsia="宋体"/>
        </w:rPr>
        <w:t>much more specification efforts will be required. Meanwhile the latency caused by informing the TA related assistance information to UE should not be neglected, and whether Rx timing difference based solution can still have low latency needs further evaluation as well.</w:t>
      </w:r>
    </w:p>
    <w:p>
      <w:pPr>
        <w:snapToGrid w:val="0"/>
        <w:spacing w:before="72" w:beforeLines="30" w:after="72" w:afterLines="30" w:line="288" w:lineRule="auto"/>
        <w:ind w:left="-60"/>
        <w:jc w:val="both"/>
        <w:rPr>
          <w:rFonts w:eastAsia="宋体"/>
        </w:rPr>
      </w:pPr>
      <w:r>
        <w:rPr>
          <w:rFonts w:hint="eastAsia" w:eastAsia="宋体"/>
          <w:b/>
          <w:bCs/>
          <w:i/>
          <w:iCs/>
        </w:rPr>
        <w:t>Observation 2:</w:t>
      </w:r>
      <w:r>
        <w:rPr>
          <w:rFonts w:hint="eastAsia" w:eastAsia="宋体"/>
          <w:i/>
          <w:iCs/>
        </w:rPr>
        <w:t xml:space="preserve"> </w:t>
      </w:r>
      <w:r>
        <w:rPr>
          <w:rFonts w:eastAsia="宋体"/>
          <w:i/>
          <w:iCs/>
        </w:rPr>
        <w:t>In terms of reducing l</w:t>
      </w:r>
      <w:r>
        <w:rPr>
          <w:rFonts w:hint="eastAsia" w:eastAsia="宋体"/>
          <w:i/>
          <w:iCs/>
        </w:rPr>
        <w:t>atency</w:t>
      </w:r>
      <w:r>
        <w:rPr>
          <w:rFonts w:eastAsia="宋体"/>
          <w:i/>
          <w:iCs/>
        </w:rPr>
        <w:t xml:space="preserve"> and minimizing spec</w:t>
      </w:r>
      <w:r>
        <w:rPr>
          <w:rFonts w:hint="eastAsia" w:eastAsia="宋体"/>
          <w:i/>
          <w:iCs/>
          <w:lang w:val="en-US" w:eastAsia="zh-CN"/>
        </w:rPr>
        <w:t>ification</w:t>
      </w:r>
      <w:r>
        <w:rPr>
          <w:rFonts w:eastAsia="宋体"/>
          <w:i/>
          <w:iCs/>
        </w:rPr>
        <w:t xml:space="preserve"> effort,</w:t>
      </w:r>
      <w:r>
        <w:rPr>
          <w:rFonts w:hint="eastAsia" w:eastAsia="宋体"/>
          <w:i/>
          <w:iCs/>
        </w:rPr>
        <w:t xml:space="preserve"> SRS based and Rx timing difference based solution</w:t>
      </w:r>
      <w:r>
        <w:rPr>
          <w:rFonts w:eastAsia="宋体"/>
          <w:i/>
          <w:iCs/>
        </w:rPr>
        <w:t xml:space="preserve"> to acquire TA of the candidate cells</w:t>
      </w:r>
      <w:r>
        <w:rPr>
          <w:rFonts w:hint="eastAsia" w:eastAsia="宋体"/>
          <w:i/>
          <w:iCs/>
        </w:rPr>
        <w:t xml:space="preserve"> might </w:t>
      </w:r>
      <w:r>
        <w:rPr>
          <w:rFonts w:eastAsia="宋体"/>
          <w:i/>
          <w:iCs/>
        </w:rPr>
        <w:t xml:space="preserve">NOT outperform </w:t>
      </w:r>
      <w:r>
        <w:rPr>
          <w:rFonts w:hint="eastAsia" w:eastAsia="宋体"/>
          <w:i/>
          <w:iCs/>
        </w:rPr>
        <w:t>RACH based solution.</w:t>
      </w:r>
    </w:p>
    <w:p>
      <w:pPr>
        <w:snapToGrid w:val="0"/>
        <w:spacing w:before="72" w:beforeLines="30" w:after="72" w:afterLines="30" w:line="288" w:lineRule="auto"/>
        <w:ind w:left="-60"/>
        <w:jc w:val="both"/>
        <w:rPr>
          <w:rFonts w:eastAsia="宋体"/>
        </w:rPr>
      </w:pPr>
      <w:r>
        <w:rPr>
          <w:rFonts w:hint="eastAsia" w:eastAsia="宋体"/>
        </w:rPr>
        <w:t>Based on the analysis above, comparison of TA acquisition solutions for L1/L2 triggered mobility is given in Table 1. Among RACH based solutions, PDCCH order based solution is better due to no need of PRACH occasion and preamble determination by UE. Generally RACH-less solutions have lower reliability than RACH based solutions, but might have lower latency as trade-off, therefore the down-selection of RACH-less based solutions should not be made until enough evaluations are reached.</w:t>
      </w:r>
    </w:p>
    <w:p>
      <w:pPr>
        <w:snapToGrid w:val="0"/>
        <w:spacing w:before="72" w:beforeLines="30" w:after="72" w:afterLines="30" w:line="288" w:lineRule="auto"/>
        <w:ind w:left="-60"/>
        <w:jc w:val="center"/>
        <w:rPr>
          <w:rFonts w:eastAsia="宋体"/>
        </w:rPr>
      </w:pPr>
      <w:r>
        <w:rPr>
          <w:rFonts w:hint="eastAsia" w:eastAsia="宋体"/>
          <w:b/>
          <w:bCs/>
        </w:rPr>
        <w:t>Table 1</w:t>
      </w:r>
      <w:r>
        <w:rPr>
          <w:rFonts w:hint="eastAsia" w:eastAsia="宋体"/>
        </w:rPr>
        <w:t xml:space="preserve"> Comparison of TA acquisition solutions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274"/>
        <w:gridCol w:w="1350"/>
        <w:gridCol w:w="1087"/>
        <w:gridCol w:w="2341"/>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jc w:val="center"/>
              <w:rPr>
                <w:rFonts w:eastAsia="宋体"/>
              </w:rPr>
            </w:pPr>
            <w:r>
              <w:rPr>
                <w:rFonts w:hint="eastAsia" w:eastAsia="宋体"/>
              </w:rPr>
              <w:t>solutions</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application scenarios</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specification impacts</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reliability</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latency</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rPr>
                <w:rFonts w:eastAsia="宋体"/>
              </w:rPr>
            </w:pPr>
            <w:r>
              <w:rPr>
                <w:rFonts w:hint="eastAsia" w:eastAsia="宋体"/>
              </w:rPr>
              <w:t>UE-triggered RACH</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wide</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less</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high</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large</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rPr>
                <w:rFonts w:eastAsia="宋体"/>
              </w:rPr>
            </w:pPr>
            <w:r>
              <w:rPr>
                <w:rFonts w:hint="eastAsia" w:eastAsia="宋体"/>
              </w:rPr>
              <w:t>PDCCH order based RACH</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wide</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less</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high</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large</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rPr>
                <w:rFonts w:eastAsia="宋体"/>
              </w:rPr>
            </w:pPr>
            <w:r>
              <w:rPr>
                <w:rFonts w:eastAsia="宋体"/>
              </w:rPr>
              <w:t>RACH-less mechanism in LTE</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narrow</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less</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basically 0</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rPr>
                <w:rFonts w:eastAsia="宋体"/>
              </w:rPr>
            </w:pPr>
            <w:r>
              <w:rPr>
                <w:rFonts w:eastAsia="宋体"/>
              </w:rPr>
              <w:t>SRS based</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wide</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huge</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medium</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medium(further evaluation)</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Align w:val="center"/>
          </w:tcPr>
          <w:p>
            <w:pPr>
              <w:snapToGrid w:val="0"/>
              <w:spacing w:before="72" w:beforeLines="30" w:after="72" w:afterLines="30" w:line="288" w:lineRule="auto"/>
              <w:rPr>
                <w:rFonts w:eastAsia="宋体"/>
              </w:rPr>
            </w:pPr>
            <w:r>
              <w:rPr>
                <w:rFonts w:eastAsia="宋体"/>
              </w:rPr>
              <w:t>Rx timing difference based</w:t>
            </w:r>
          </w:p>
        </w:tc>
        <w:tc>
          <w:tcPr>
            <w:tcW w:w="1274" w:type="dxa"/>
            <w:vAlign w:val="center"/>
          </w:tcPr>
          <w:p>
            <w:pPr>
              <w:snapToGrid w:val="0"/>
              <w:spacing w:before="72" w:beforeLines="30" w:after="72" w:afterLines="30" w:line="288" w:lineRule="auto"/>
              <w:jc w:val="center"/>
              <w:rPr>
                <w:rFonts w:eastAsia="宋体"/>
              </w:rPr>
            </w:pPr>
            <w:r>
              <w:rPr>
                <w:rFonts w:hint="eastAsia" w:eastAsia="宋体"/>
              </w:rPr>
              <w:t>wide</w:t>
            </w:r>
          </w:p>
        </w:tc>
        <w:tc>
          <w:tcPr>
            <w:tcW w:w="1350" w:type="dxa"/>
            <w:vAlign w:val="center"/>
          </w:tcPr>
          <w:p>
            <w:pPr>
              <w:snapToGrid w:val="0"/>
              <w:spacing w:before="72" w:beforeLines="30" w:after="72" w:afterLines="30" w:line="288" w:lineRule="auto"/>
              <w:jc w:val="center"/>
              <w:rPr>
                <w:rFonts w:eastAsia="宋体"/>
              </w:rPr>
            </w:pPr>
            <w:r>
              <w:rPr>
                <w:rFonts w:hint="eastAsia" w:eastAsia="宋体"/>
              </w:rPr>
              <w:t>huge</w:t>
            </w:r>
          </w:p>
        </w:tc>
        <w:tc>
          <w:tcPr>
            <w:tcW w:w="1087" w:type="dxa"/>
            <w:vAlign w:val="center"/>
          </w:tcPr>
          <w:p>
            <w:pPr>
              <w:snapToGrid w:val="0"/>
              <w:spacing w:before="72" w:beforeLines="30" w:after="72" w:afterLines="30" w:line="288" w:lineRule="auto"/>
              <w:jc w:val="center"/>
              <w:rPr>
                <w:rFonts w:eastAsia="宋体"/>
              </w:rPr>
            </w:pPr>
            <w:r>
              <w:rPr>
                <w:rFonts w:hint="eastAsia" w:eastAsia="宋体"/>
              </w:rPr>
              <w:t>low</w:t>
            </w:r>
          </w:p>
        </w:tc>
        <w:tc>
          <w:tcPr>
            <w:tcW w:w="2341" w:type="dxa"/>
            <w:vAlign w:val="center"/>
          </w:tcPr>
          <w:p>
            <w:pPr>
              <w:snapToGrid w:val="0"/>
              <w:spacing w:before="72" w:beforeLines="30" w:after="72" w:afterLines="30" w:line="288" w:lineRule="auto"/>
              <w:jc w:val="center"/>
              <w:rPr>
                <w:rFonts w:eastAsia="宋体"/>
              </w:rPr>
            </w:pPr>
            <w:r>
              <w:rPr>
                <w:rFonts w:hint="eastAsia" w:eastAsia="宋体"/>
              </w:rPr>
              <w:t>low(further evaluation)</w:t>
            </w:r>
          </w:p>
        </w:tc>
        <w:tc>
          <w:tcPr>
            <w:tcW w:w="1156" w:type="dxa"/>
            <w:vAlign w:val="center"/>
          </w:tcPr>
          <w:p>
            <w:pPr>
              <w:snapToGrid w:val="0"/>
              <w:spacing w:before="72" w:beforeLines="30" w:after="72" w:afterLines="30" w:line="288" w:lineRule="auto"/>
              <w:jc w:val="center"/>
              <w:rPr>
                <w:rFonts w:eastAsia="宋体"/>
              </w:rPr>
            </w:pPr>
            <w:r>
              <w:rPr>
                <w:rFonts w:hint="eastAsia" w:eastAsia="宋体"/>
              </w:rPr>
              <w:t>high</w:t>
            </w:r>
          </w:p>
        </w:tc>
      </w:tr>
    </w:tbl>
    <w:p>
      <w:pPr>
        <w:snapToGrid w:val="0"/>
        <w:spacing w:before="72" w:beforeLines="30" w:after="72" w:afterLines="30" w:line="288" w:lineRule="auto"/>
        <w:ind w:left="-60"/>
        <w:jc w:val="both"/>
        <w:rPr>
          <w:rFonts w:eastAsia="宋体"/>
          <w:i/>
          <w:iCs/>
        </w:rPr>
      </w:pPr>
      <w:r>
        <w:rPr>
          <w:rFonts w:hint="eastAsia" w:eastAsia="宋体"/>
          <w:b/>
          <w:bCs/>
          <w:i/>
          <w:iCs/>
        </w:rPr>
        <w:t>Proposal 7:</w:t>
      </w:r>
      <w:r>
        <w:rPr>
          <w:rFonts w:hint="eastAsia" w:eastAsia="宋体"/>
          <w:i/>
          <w:iCs/>
        </w:rPr>
        <w:t xml:space="preserve"> On mechanism to acquire TA of the candidate cells, RAN1 further evaluates reliability and latency of RACH-less solutions except RACH-less mechanism as in LTE.</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 and candidate cell</w:t>
      </w:r>
    </w:p>
    <w:p>
      <w:pPr>
        <w:snapToGrid w:val="0"/>
        <w:spacing w:before="72" w:beforeLines="30" w:after="72" w:afterLines="30" w:line="288" w:lineRule="auto"/>
        <w:ind w:left="-60"/>
        <w:jc w:val="both"/>
        <w:rPr>
          <w:rFonts w:eastAsia="宋体"/>
        </w:rPr>
      </w:pPr>
      <w:r>
        <w:rPr>
          <w:rFonts w:hint="eastAsia" w:eastAsia="宋体"/>
        </w:rPr>
        <w:t>In RAN1#110b-e meeting, the following agreement on association between TA and candidate cell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napToGrid w:val="0"/>
              <w:spacing w:before="72" w:beforeLines="30" w:after="72" w:afterLines="30" w:line="288" w:lineRule="auto"/>
              <w:jc w:val="both"/>
              <w:rPr>
                <w:rFonts w:eastAsia="宋体"/>
              </w:rPr>
            </w:pPr>
            <w:r>
              <w:rPr>
                <w:rFonts w:eastAsia="宋体"/>
              </w:rPr>
              <w:t>For TA acquisition of</w:t>
            </w:r>
            <w:r>
              <w:rPr>
                <w:rFonts w:hint="eastAsia" w:eastAsia="宋体"/>
              </w:rPr>
              <w:t xml:space="preserve"> </w:t>
            </w:r>
            <w:r>
              <w:rPr>
                <w:rFonts w:eastAsia="宋体"/>
              </w:rPr>
              <w:t>a</w:t>
            </w:r>
            <w:r>
              <w:rPr>
                <w:rFonts w:hint="eastAsia" w:eastAsia="宋体"/>
              </w:rPr>
              <w:t xml:space="preserve"> </w:t>
            </w:r>
            <w:r>
              <w:rPr>
                <w:rFonts w:eastAsia="宋体"/>
              </w:rPr>
              <w:t>candidate</w:t>
            </w:r>
            <w:r>
              <w:rPr>
                <w:rFonts w:hint="eastAsia" w:eastAsia="宋体"/>
              </w:rPr>
              <w:t xml:space="preserve"> </w:t>
            </w:r>
            <w:r>
              <w:rPr>
                <w:rFonts w:eastAsia="宋体"/>
              </w:rPr>
              <w:t>cell before</w:t>
            </w:r>
            <w:r>
              <w:rPr>
                <w:rFonts w:hint="eastAsia" w:eastAsia="宋体"/>
              </w:rPr>
              <w:t xml:space="preserve"> </w:t>
            </w:r>
            <w:r>
              <w:rPr>
                <w:rFonts w:eastAsia="宋体"/>
              </w:rPr>
              <w:t>cell switch command</w:t>
            </w:r>
            <w:r>
              <w:rPr>
                <w:rFonts w:hint="eastAsia" w:eastAsia="宋体"/>
              </w:rPr>
              <w:t xml:space="preserve"> </w:t>
            </w:r>
            <w:r>
              <w:rPr>
                <w:rFonts w:eastAsia="宋体"/>
              </w:rPr>
              <w:t>is received, study</w:t>
            </w:r>
            <w:r>
              <w:rPr>
                <w:rFonts w:hint="eastAsia" w:eastAsia="宋体"/>
              </w:rPr>
              <w:t xml:space="preserve"> </w:t>
            </w:r>
            <w:r>
              <w:rPr>
                <w:rFonts w:eastAsia="宋体"/>
              </w:rPr>
              <w:t>at least</w:t>
            </w:r>
            <w:r>
              <w:rPr>
                <w:rFonts w:hint="eastAsia" w:eastAsia="宋体"/>
              </w:rPr>
              <w:t xml:space="preserve"> </w:t>
            </w:r>
            <w:r>
              <w:rPr>
                <w:rFonts w:eastAsia="宋体"/>
              </w:rPr>
              <w:t>the following alternatives of associating TA/TAG to candidate</w:t>
            </w:r>
            <w:r>
              <w:rPr>
                <w:rFonts w:hint="eastAsia" w:eastAsia="宋体"/>
              </w:rPr>
              <w:t xml:space="preserve"> </w:t>
            </w:r>
            <w:r>
              <w:rPr>
                <w:rFonts w:eastAsia="宋体"/>
              </w:rPr>
              <w:t>cell:</w:t>
            </w:r>
          </w:p>
          <w:p>
            <w:pPr>
              <w:numPr>
                <w:ilvl w:val="0"/>
                <w:numId w:val="11"/>
              </w:numPr>
              <w:spacing w:before="72" w:beforeLines="30" w:after="72" w:afterLines="30" w:line="288" w:lineRule="auto"/>
              <w:ind w:left="400" w:hanging="400" w:hangingChars="200"/>
              <w:rPr>
                <w:rFonts w:eastAsia="宋体"/>
              </w:rPr>
            </w:pPr>
            <w:r>
              <w:rPr>
                <w:rFonts w:eastAsia="宋体"/>
              </w:rPr>
              <w:t>Alt1: Associate TA/TAG and candidate</w:t>
            </w:r>
            <w:r>
              <w:rPr>
                <w:rFonts w:hint="eastAsia" w:eastAsia="宋体"/>
              </w:rPr>
              <w:t xml:space="preserve"> </w:t>
            </w:r>
            <w:r>
              <w:rPr>
                <w:rFonts w:eastAsia="宋体"/>
              </w:rPr>
              <w:t>cell</w:t>
            </w:r>
            <w:r>
              <w:rPr>
                <w:rFonts w:hint="eastAsia" w:eastAsia="宋体"/>
              </w:rPr>
              <w:t xml:space="preserve"> </w:t>
            </w:r>
            <w:r>
              <w:rPr>
                <w:rFonts w:eastAsia="宋体"/>
              </w:rPr>
              <w:t>implicitly, e.g.,</w:t>
            </w:r>
          </w:p>
          <w:p>
            <w:pPr>
              <w:numPr>
                <w:ilvl w:val="0"/>
                <w:numId w:val="11"/>
              </w:numPr>
              <w:spacing w:before="72" w:beforeLines="30" w:after="72" w:afterLines="30" w:line="288" w:lineRule="auto"/>
              <w:ind w:left="800" w:leftChars="200" w:hanging="400" w:hangingChars="200"/>
              <w:rPr>
                <w:rFonts w:eastAsia="宋体"/>
              </w:rPr>
            </w:pPr>
            <w:r>
              <w:rPr>
                <w:rFonts w:eastAsia="宋体"/>
              </w:rPr>
              <w:t>the association between TA/TAG and TCI states can be configured</w:t>
            </w:r>
          </w:p>
          <w:p>
            <w:pPr>
              <w:numPr>
                <w:ilvl w:val="0"/>
                <w:numId w:val="11"/>
              </w:numPr>
              <w:spacing w:before="72" w:beforeLines="30" w:after="72" w:afterLines="30" w:line="288" w:lineRule="auto"/>
              <w:ind w:left="400" w:hanging="400" w:hangingChars="200"/>
              <w:rPr>
                <w:rFonts w:eastAsia="宋体"/>
              </w:rPr>
            </w:pPr>
            <w:r>
              <w:rPr>
                <w:rFonts w:eastAsia="宋体"/>
              </w:rPr>
              <w:t>Alt2: Associate TA/TAG and candidate</w:t>
            </w:r>
            <w:r>
              <w:rPr>
                <w:rFonts w:hint="eastAsia" w:eastAsia="宋体"/>
              </w:rPr>
              <w:t xml:space="preserve"> </w:t>
            </w:r>
            <w:r>
              <w:rPr>
                <w:rFonts w:eastAsia="宋体"/>
              </w:rPr>
              <w:t>cell</w:t>
            </w:r>
            <w:r>
              <w:rPr>
                <w:rFonts w:hint="eastAsia" w:eastAsia="宋体"/>
              </w:rPr>
              <w:t xml:space="preserve"> </w:t>
            </w:r>
            <w:r>
              <w:rPr>
                <w:rFonts w:eastAsia="宋体"/>
              </w:rPr>
              <w:t>explicitly, e.g.</w:t>
            </w:r>
            <w:r>
              <w:rPr>
                <w:rFonts w:hint="eastAsia" w:eastAsia="宋体"/>
              </w:rPr>
              <w:t>,</w:t>
            </w:r>
          </w:p>
          <w:p>
            <w:pPr>
              <w:numPr>
                <w:ilvl w:val="0"/>
                <w:numId w:val="11"/>
              </w:numPr>
              <w:spacing w:before="72" w:beforeLines="30" w:after="72" w:afterLines="30" w:line="288" w:lineRule="auto"/>
              <w:ind w:left="400" w:leftChars="200" w:firstLine="0"/>
              <w:rPr>
                <w:rFonts w:eastAsia="宋体"/>
              </w:rPr>
            </w:pPr>
            <w:r>
              <w:rPr>
                <w:rFonts w:eastAsia="宋体"/>
              </w:rPr>
              <w:t>the association is provided as a part of candidate cell(s) configuratio</w:t>
            </w:r>
            <w:r>
              <w:rPr>
                <w:rFonts w:hint="eastAsia" w:eastAsia="宋体"/>
              </w:rPr>
              <w:t>n</w:t>
            </w:r>
          </w:p>
          <w:p>
            <w:pPr>
              <w:numPr>
                <w:ilvl w:val="0"/>
                <w:numId w:val="11"/>
              </w:numPr>
              <w:spacing w:before="72" w:beforeLines="30" w:after="72" w:afterLines="30" w:line="288" w:lineRule="auto"/>
              <w:ind w:left="700" w:leftChars="200" w:hanging="300" w:hangingChars="150"/>
              <w:rPr>
                <w:rFonts w:eastAsia="宋体"/>
              </w:rPr>
            </w:pPr>
            <w:r>
              <w:rPr>
                <w:rFonts w:eastAsia="宋体"/>
              </w:rPr>
              <w:t>the association between TA/TAG and SSB(s)/TRS(s) is provided as a part of candidate cell(s) configuration</w:t>
            </w:r>
          </w:p>
        </w:tc>
      </w:tr>
    </w:tbl>
    <w:p>
      <w:pPr>
        <w:snapToGrid w:val="0"/>
        <w:spacing w:before="72" w:beforeLines="30" w:after="72" w:afterLines="30" w:line="288" w:lineRule="auto"/>
        <w:ind w:left="-60"/>
        <w:jc w:val="both"/>
        <w:rPr>
          <w:rFonts w:eastAsia="宋体"/>
        </w:rPr>
      </w:pPr>
      <w:r>
        <w:rPr>
          <w:rFonts w:hint="eastAsia" w:eastAsia="宋体"/>
        </w:rPr>
        <w:t xml:space="preserve">In some extent, whether to associate TA or TAG to candidate cell depends on whether one or more TAs are required for a candidate cell. If multiple TAs are required, each TA is associated with a TAG configured for the candidate cell, and association between TAG and candidate cell needs clarification. </w:t>
      </w:r>
    </w:p>
    <w:p>
      <w:pPr>
        <w:snapToGrid w:val="0"/>
        <w:spacing w:before="72" w:beforeLines="30" w:after="72" w:afterLines="30" w:line="288" w:lineRule="auto"/>
        <w:ind w:left="-60"/>
        <w:jc w:val="both"/>
        <w:rPr>
          <w:rFonts w:eastAsia="宋体"/>
        </w:rPr>
      </w:pPr>
      <w:r>
        <w:rPr>
          <w:rFonts w:hint="eastAsia" w:eastAsia="宋体"/>
        </w:rPr>
        <w:t>The alternatives listed in the agreement is quite similar as that for association of TA to UL channels/signals in A.I. 9.1.1.2 (i.e.</w:t>
      </w:r>
      <w:r>
        <w:rPr>
          <w:rFonts w:hint="eastAsia" w:eastAsia="宋体"/>
          <w:lang w:val="en-US" w:eastAsia="zh-CN"/>
        </w:rPr>
        <w:t>,</w:t>
      </w:r>
      <w:r>
        <w:rPr>
          <w:rFonts w:hint="eastAsia" w:eastAsia="宋体"/>
        </w:rPr>
        <w:t xml:space="preserve"> two TA for multi-DCI multi-TRP), however such common design might be inappropriate. For multi-TRP operation, uplink signals associated with both TRPs can appear, hence the association of TA-TAG-TRP-UL signal is needed. For L1/L2 triggered mobility, generally uplink signals are transmitted to the source cell before cell switch command and to the target cell after cell switch command, and TA is switched from the value for source cell to that for target cell once cell switch command is received, which means association of TA to uplink signals is not needed and only association between TA and candidate cell needs further consideration.</w:t>
      </w:r>
    </w:p>
    <w:p>
      <w:pPr>
        <w:snapToGrid w:val="0"/>
        <w:spacing w:before="72" w:beforeLines="30" w:after="72" w:afterLines="30" w:line="288" w:lineRule="auto"/>
        <w:ind w:left="-60"/>
        <w:jc w:val="both"/>
        <w:rPr>
          <w:rFonts w:eastAsia="宋体"/>
        </w:rPr>
      </w:pPr>
      <w:r>
        <w:rPr>
          <w:rFonts w:hint="eastAsia" w:eastAsia="宋体"/>
        </w:rPr>
        <w:t xml:space="preserve">For Alt 1, the implicit indication is considered as follows. Combining with the mechanisms of TA acquisition analyzed in sub-section 2.3, if RACH configurations, SSB configurations, SRS resources for TA acquisition or TCI state are configured as a </w:t>
      </w:r>
      <w:r>
        <w:rPr>
          <w:rFonts w:eastAsia="宋体"/>
        </w:rPr>
        <w:t>part of candidate cell(s) configuratio</w:t>
      </w:r>
      <w:r>
        <w:rPr>
          <w:rFonts w:hint="eastAsia" w:eastAsia="宋体"/>
        </w:rPr>
        <w:t>n, and they are associated with TA, it means that TA is implicitly associated with candidate cell. For Alt2, if TA related information for candidate cell is configured under IE of candidate cell configuration, such configuration can already refle</w:t>
      </w:r>
      <w:bookmarkStart w:id="1" w:name="_GoBack"/>
      <w:bookmarkEnd w:id="1"/>
      <w:r>
        <w:rPr>
          <w:rFonts w:hint="eastAsia" w:eastAsia="宋体"/>
        </w:rPr>
        <w:t>ct the association between TA and candidate cell.</w:t>
      </w:r>
    </w:p>
    <w:p>
      <w:pPr>
        <w:snapToGrid w:val="0"/>
        <w:spacing w:before="72" w:beforeLines="30" w:after="72" w:afterLines="30" w:line="288" w:lineRule="auto"/>
        <w:ind w:left="-60"/>
        <w:jc w:val="both"/>
        <w:rPr>
          <w:rFonts w:eastAsia="宋体"/>
        </w:rPr>
      </w:pPr>
      <w:r>
        <w:rPr>
          <w:rFonts w:hint="eastAsia" w:eastAsia="宋体"/>
        </w:rPr>
        <w:t>Based on the analysis above, whether the association between TA and candidate cell is implicit or explicit should be determined by the model of candidate cell configuration and the detailed IE carried in the candidate cell configuration.</w:t>
      </w:r>
    </w:p>
    <w:p>
      <w:pPr>
        <w:snapToGrid w:val="0"/>
        <w:spacing w:before="72" w:beforeLines="30" w:after="72" w:afterLines="30" w:line="288" w:lineRule="auto"/>
        <w:ind w:left="-60"/>
        <w:jc w:val="both"/>
        <w:rPr>
          <w:rFonts w:eastAsia="宋体"/>
          <w:i/>
          <w:iCs/>
        </w:rPr>
      </w:pPr>
      <w:r>
        <w:rPr>
          <w:rFonts w:hint="eastAsia" w:eastAsia="宋体"/>
          <w:b/>
          <w:bCs/>
          <w:i/>
          <w:iCs/>
        </w:rPr>
        <w:t>Proposal 8:</w:t>
      </w:r>
      <w:r>
        <w:rPr>
          <w:rFonts w:hint="eastAsia" w:eastAsia="宋体"/>
          <w:i/>
          <w:iCs/>
        </w:rPr>
        <w:t xml:space="preserve"> For TA acquisition of candidate cell</w:t>
      </w:r>
      <w:r>
        <w:rPr>
          <w:rFonts w:eastAsia="宋体"/>
          <w:i/>
          <w:iCs/>
        </w:rPr>
        <w:t>(s)</w:t>
      </w:r>
      <w:r>
        <w:rPr>
          <w:rFonts w:hint="eastAsia" w:eastAsia="宋体"/>
          <w:i/>
          <w:iCs/>
        </w:rPr>
        <w:t xml:space="preserve"> before cell switch command is received, support to associate TA and candidate cell explicitly (Alt2).</w:t>
      </w:r>
    </w:p>
    <w:p>
      <w:pPr>
        <w:numPr>
          <w:ilvl w:val="0"/>
          <w:numId w:val="12"/>
        </w:numPr>
        <w:snapToGrid w:val="0"/>
        <w:spacing w:before="72" w:beforeLines="30" w:after="72" w:afterLines="30" w:line="288" w:lineRule="auto"/>
        <w:ind w:left="782" w:hanging="363"/>
        <w:jc w:val="both"/>
        <w:rPr>
          <w:rFonts w:eastAsia="宋体"/>
        </w:rPr>
      </w:pPr>
      <w:r>
        <w:rPr>
          <w:rFonts w:hint="eastAsia" w:eastAsia="宋体"/>
          <w:i/>
          <w:iCs/>
        </w:rPr>
        <w:t xml:space="preserve">Note: Detailed association should be determined after the mechanism to acquire TA is </w:t>
      </w:r>
      <w:r>
        <w:rPr>
          <w:rFonts w:eastAsia="宋体"/>
          <w:i/>
          <w:iCs/>
        </w:rPr>
        <w:t>stable</w:t>
      </w:r>
      <w:r>
        <w:rPr>
          <w:rFonts w:hint="eastAsia" w:eastAsia="宋体"/>
          <w:i/>
          <w:iCs/>
        </w:rPr>
        <w:t>.</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Mechanism to ensure TA validity</w:t>
      </w:r>
    </w:p>
    <w:p>
      <w:pPr>
        <w:snapToGrid w:val="0"/>
        <w:spacing w:before="72" w:beforeLines="30" w:after="72" w:afterLines="30" w:line="288" w:lineRule="auto"/>
        <w:ind w:left="-60"/>
        <w:jc w:val="both"/>
        <w:rPr>
          <w:rFonts w:eastAsia="宋体"/>
        </w:rPr>
      </w:pPr>
      <w:r>
        <w:rPr>
          <w:rFonts w:hint="eastAsia" w:eastAsia="宋体"/>
        </w:rPr>
        <w:t>In legacy specification, TAC is used to update the current timing advance maintained by UE to ensure validity after initial TA has been acquired through RACH procedures. Network determines timing advance adjustment amount according to the measurement of uplink transmissions (e.g., SRS) from UE and indicate the TAC to UE. For L1/L2 triggered mobility, initial timing advance acquisition might be much earlier than cell switch command, and timing advance updating should also be considered to ensure validity of each acquired TA.</w:t>
      </w:r>
    </w:p>
    <w:p>
      <w:pPr>
        <w:snapToGrid w:val="0"/>
        <w:spacing w:before="72" w:beforeLines="30" w:after="72" w:afterLines="30" w:line="288" w:lineRule="auto"/>
        <w:ind w:left="-60"/>
        <w:jc w:val="both"/>
        <w:rPr>
          <w:rFonts w:eastAsia="宋体"/>
        </w:rPr>
      </w:pPr>
      <w:r>
        <w:rPr>
          <w:rFonts w:hint="eastAsia" w:eastAsia="宋体"/>
        </w:rPr>
        <w:t>Considering whether UE can transmit uplink signals except PRACH to candidate cells is still unclear, mechanisms of timing advance updating deserves further study.</w:t>
      </w:r>
    </w:p>
    <w:p>
      <w:pPr>
        <w:snapToGrid w:val="0"/>
        <w:spacing w:before="72" w:beforeLines="30" w:after="72" w:afterLines="30" w:line="288" w:lineRule="auto"/>
        <w:ind w:left="-60"/>
        <w:jc w:val="both"/>
      </w:pPr>
      <w:r>
        <w:rPr>
          <w:rFonts w:hint="eastAsia"/>
        </w:rPr>
        <w:t>For time alignment timer (TAT), it is configured in TAG-Config per TAG in the current specification. According to subclause 5.2 in TS 38.321, the MAC entity will start or restart the corresponding TAT once receiving a TAC from RAR or TAC MAC CE. When the TAT expires, the UL synchronization status is "non-synchronized", and uplink transmissions except PRACH are not allowed, and random access procedures are required to acquire the initial timing advance value.</w:t>
      </w:r>
    </w:p>
    <w:p>
      <w:pPr>
        <w:snapToGrid w:val="0"/>
        <w:spacing w:before="72" w:beforeLines="30" w:after="72" w:afterLines="30" w:line="288" w:lineRule="auto"/>
        <w:ind w:left="-60"/>
        <w:jc w:val="both"/>
      </w:pPr>
      <w:r>
        <w:rPr>
          <w:rFonts w:hint="eastAsia"/>
        </w:rPr>
        <w:t xml:space="preserve">For timing advance management for </w:t>
      </w:r>
      <w:r>
        <w:rPr>
          <w:rFonts w:hint="eastAsia" w:eastAsia="宋体"/>
        </w:rPr>
        <w:t>L1/L2 triggered</w:t>
      </w:r>
      <w:r>
        <w:rPr>
          <w:rFonts w:hint="eastAsia"/>
        </w:rPr>
        <w:t xml:space="preserve"> mobility, a timer analogous to TAT should be considered to ensure validity of timing advance value acquired for candidate cells. A plurality of issues related to the timer need to be considered, especially for mechanism of timing advance updating is not supported, e.g.</w:t>
      </w:r>
      <w:r>
        <w:rPr>
          <w:rFonts w:hint="eastAsia" w:eastAsia="宋体"/>
          <w:lang w:val="en-US" w:eastAsia="zh-CN"/>
        </w:rPr>
        <w:t>,</w:t>
      </w:r>
      <w:r>
        <w:rPr>
          <w:rFonts w:hint="eastAsia"/>
        </w:rPr>
        <w:t xml:space="preserve"> when to start or restart the timer, and how to specify UE behaviour in case of timer expiry.</w:t>
      </w:r>
    </w:p>
    <w:p>
      <w:pPr>
        <w:snapToGrid w:val="0"/>
        <w:spacing w:before="72" w:beforeLines="30" w:after="72" w:afterLines="30" w:line="288" w:lineRule="auto"/>
        <w:ind w:left="-60"/>
        <w:jc w:val="both"/>
      </w:pPr>
      <w:r>
        <w:rPr>
          <w:rFonts w:hint="eastAsia" w:eastAsia="宋体"/>
          <w:b/>
          <w:bCs/>
          <w:i/>
          <w:iCs/>
        </w:rPr>
        <w:t>Proposal 9:</w:t>
      </w:r>
      <w:r>
        <w:rPr>
          <w:rFonts w:hint="eastAsia" w:eastAsia="宋体"/>
          <w:i/>
          <w:iCs/>
        </w:rPr>
        <w:t xml:space="preserve"> Mechanisms to endure validity of timing advance acquired for candidate cells should be further considered.</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ind w:left="-60"/>
        <w:jc w:val="both"/>
      </w:pPr>
      <w:bookmarkStart w:id="0" w:name="OLE_LINK25"/>
      <w:r>
        <w:rPr>
          <w:rFonts w:hint="eastAsia"/>
          <w:lang w:val="en-GB"/>
        </w:rPr>
        <w:t xml:space="preserve">In this contribution, we discuss </w:t>
      </w:r>
      <w:r>
        <w:rPr>
          <w:rFonts w:hint="eastAsia" w:eastAsia="宋体"/>
        </w:rPr>
        <w:t xml:space="preserve">some </w:t>
      </w:r>
      <w:r>
        <w:rPr>
          <w:rFonts w:hint="eastAsia"/>
        </w:rPr>
        <w:t>potential</w:t>
      </w:r>
      <w:r>
        <w:rPr>
          <w:rFonts w:hint="eastAsia" w:eastAsia="宋体"/>
        </w:rPr>
        <w:t xml:space="preserve"> </w:t>
      </w:r>
      <w:r>
        <w:rPr>
          <w:rFonts w:hint="eastAsia"/>
        </w:rPr>
        <w:t>mechanisms</w:t>
      </w:r>
      <w:r>
        <w:rPr>
          <w:rFonts w:hint="eastAsia" w:eastAsia="宋体"/>
        </w:rPr>
        <w:t xml:space="preserve"> and methods for timing advance management to support mobility latency reduction </w:t>
      </w:r>
      <w:r>
        <w:rPr>
          <w:rFonts w:hint="eastAsia"/>
          <w:lang w:val="en-GB"/>
        </w:rPr>
        <w:t xml:space="preserve">with the following </w:t>
      </w:r>
      <w:r>
        <w:rPr>
          <w:rFonts w:hint="eastAsia"/>
        </w:rPr>
        <w:t xml:space="preserve">observations and </w:t>
      </w:r>
      <w:r>
        <w:rPr>
          <w:rFonts w:hint="eastAsia"/>
          <w:lang w:val="en-GB"/>
        </w:rPr>
        <w:t>proposals.</w:t>
      </w:r>
      <w:bookmarkEnd w:id="0"/>
    </w:p>
    <w:p>
      <w:pPr>
        <w:snapToGrid w:val="0"/>
        <w:spacing w:before="72" w:beforeLines="30" w:after="72" w:afterLines="30" w:line="288" w:lineRule="auto"/>
        <w:ind w:left="-60"/>
        <w:jc w:val="both"/>
        <w:rPr>
          <w:rFonts w:eastAsia="宋体"/>
          <w:i/>
          <w:iCs/>
        </w:rPr>
      </w:pPr>
      <w:r>
        <w:rPr>
          <w:rFonts w:hint="eastAsia" w:eastAsia="宋体"/>
          <w:b/>
          <w:bCs/>
          <w:i/>
          <w:iCs/>
        </w:rPr>
        <w:t>Observation 1:</w:t>
      </w:r>
      <w:r>
        <w:rPr>
          <w:rFonts w:hint="eastAsia" w:eastAsia="宋体"/>
          <w:i/>
          <w:iCs/>
        </w:rPr>
        <w:t xml:space="preserve"> UE-triggered RACH procedure to acquire TA for candidate cells can be time-consuming.</w:t>
      </w:r>
    </w:p>
    <w:p>
      <w:pPr>
        <w:snapToGrid w:val="0"/>
        <w:spacing w:before="72" w:beforeLines="30" w:after="72" w:afterLines="30" w:line="288" w:lineRule="auto"/>
        <w:ind w:left="-60"/>
        <w:jc w:val="both"/>
        <w:rPr>
          <w:rFonts w:eastAsia="宋体"/>
        </w:rPr>
      </w:pPr>
      <w:r>
        <w:rPr>
          <w:rFonts w:hint="eastAsia" w:eastAsia="宋体"/>
          <w:b/>
          <w:bCs/>
          <w:i/>
          <w:iCs/>
        </w:rPr>
        <w:t>Observation 2:</w:t>
      </w:r>
      <w:r>
        <w:rPr>
          <w:rFonts w:hint="eastAsia" w:eastAsia="宋体"/>
          <w:i/>
          <w:iCs/>
        </w:rPr>
        <w:t xml:space="preserve"> </w:t>
      </w:r>
      <w:r>
        <w:rPr>
          <w:rFonts w:eastAsia="宋体"/>
          <w:i/>
          <w:iCs/>
        </w:rPr>
        <w:t>In terms of reducing l</w:t>
      </w:r>
      <w:r>
        <w:rPr>
          <w:rFonts w:hint="eastAsia" w:eastAsia="宋体"/>
          <w:i/>
          <w:iCs/>
        </w:rPr>
        <w:t>atency</w:t>
      </w:r>
      <w:r>
        <w:rPr>
          <w:rFonts w:eastAsia="宋体"/>
          <w:i/>
          <w:iCs/>
        </w:rPr>
        <w:t xml:space="preserve"> and minimizing spec</w:t>
      </w:r>
      <w:r>
        <w:rPr>
          <w:rFonts w:hint="eastAsia" w:eastAsia="宋体"/>
          <w:i/>
          <w:iCs/>
          <w:lang w:val="en-US" w:eastAsia="zh-CN"/>
        </w:rPr>
        <w:t>ification</w:t>
      </w:r>
      <w:r>
        <w:rPr>
          <w:rFonts w:eastAsia="宋体"/>
          <w:i/>
          <w:iCs/>
        </w:rPr>
        <w:t xml:space="preserve"> effort,</w:t>
      </w:r>
      <w:r>
        <w:rPr>
          <w:rFonts w:hint="eastAsia" w:eastAsia="宋体"/>
          <w:i/>
          <w:iCs/>
        </w:rPr>
        <w:t xml:space="preserve"> SRS based and Rx timing difference based solution</w:t>
      </w:r>
      <w:r>
        <w:rPr>
          <w:rFonts w:eastAsia="宋体"/>
          <w:i/>
          <w:iCs/>
        </w:rPr>
        <w:t xml:space="preserve"> to acquire TA of the candidate cells</w:t>
      </w:r>
      <w:r>
        <w:rPr>
          <w:rFonts w:hint="eastAsia" w:eastAsia="宋体"/>
          <w:i/>
          <w:iCs/>
        </w:rPr>
        <w:t xml:space="preserve"> might </w:t>
      </w:r>
      <w:r>
        <w:rPr>
          <w:rFonts w:eastAsia="宋体"/>
          <w:i/>
          <w:iCs/>
        </w:rPr>
        <w:t xml:space="preserve">NOT outperform </w:t>
      </w:r>
      <w:r>
        <w:rPr>
          <w:rFonts w:hint="eastAsia" w:eastAsia="宋体"/>
          <w:i/>
          <w:iCs/>
        </w:rPr>
        <w:t>RACH based solution.</w:t>
      </w:r>
    </w:p>
    <w:p>
      <w:pPr>
        <w:snapToGrid w:val="0"/>
        <w:spacing w:before="72" w:beforeLines="30" w:after="72" w:afterLines="30" w:line="288" w:lineRule="auto"/>
        <w:ind w:left="-60"/>
        <w:jc w:val="both"/>
        <w:rPr>
          <w:rFonts w:eastAsia="宋体"/>
          <w:i/>
          <w:iCs/>
        </w:rPr>
      </w:pPr>
    </w:p>
    <w:p>
      <w:pPr>
        <w:snapToGrid w:val="0"/>
        <w:spacing w:before="72" w:beforeLines="30" w:after="72" w:afterLines="30" w:line="288" w:lineRule="auto"/>
        <w:ind w:left="-60"/>
        <w:jc w:val="both"/>
      </w:pPr>
      <w:r>
        <w:rPr>
          <w:rFonts w:hint="eastAsia" w:eastAsia="宋体"/>
          <w:b/>
          <w:bCs/>
          <w:i/>
          <w:iCs/>
        </w:rPr>
        <w:t>Proposal</w:t>
      </w:r>
      <w:r>
        <w:rPr>
          <w:rFonts w:hint="eastAsia"/>
          <w:b/>
          <w:bCs/>
          <w:i/>
          <w:iCs/>
        </w:rPr>
        <w:t xml:space="preserve"> 1:</w:t>
      </w:r>
      <w:r>
        <w:rPr>
          <w:rFonts w:hint="eastAsia"/>
          <w:i/>
          <w:iCs/>
        </w:rPr>
        <w:t xml:space="preserve"> </w:t>
      </w:r>
      <w:r>
        <w:rPr>
          <w:rFonts w:hint="eastAsia" w:eastAsia="宋体"/>
          <w:i/>
          <w:iCs/>
        </w:rPr>
        <w:t>Timing advance</w:t>
      </w:r>
      <w:r>
        <w:rPr>
          <w:rFonts w:hint="eastAsia" w:eastAsia="宋体"/>
          <w:b/>
          <w:bCs/>
          <w:i/>
          <w:iCs/>
        </w:rPr>
        <w:t xml:space="preserve"> </w:t>
      </w:r>
      <w:r>
        <w:rPr>
          <w:rFonts w:hint="eastAsia" w:eastAsia="宋体"/>
          <w:i/>
          <w:iCs/>
        </w:rPr>
        <w:t>management for L1/L2 triggered mobility and two TAs enhancement for multi-DCI multi-TRP should be treated as two independent designs.</w:t>
      </w:r>
    </w:p>
    <w:p>
      <w:pPr>
        <w:snapToGrid w:val="0"/>
        <w:spacing w:before="72" w:beforeLines="30" w:after="72" w:afterLines="30" w:line="288" w:lineRule="auto"/>
        <w:ind w:left="-60"/>
        <w:jc w:val="both"/>
        <w:rPr>
          <w:rFonts w:eastAsia="宋体"/>
          <w:i/>
          <w:iCs/>
        </w:rPr>
      </w:pPr>
      <w:r>
        <w:rPr>
          <w:rFonts w:hint="eastAsia" w:eastAsia="宋体"/>
          <w:b/>
          <w:bCs/>
          <w:i/>
          <w:iCs/>
        </w:rPr>
        <w:t>Proposal 2:</w:t>
      </w:r>
      <w:r>
        <w:rPr>
          <w:rFonts w:hint="eastAsia" w:eastAsia="宋体"/>
          <w:i/>
          <w:iCs/>
        </w:rPr>
        <w:t xml:space="preserve"> For TA acquisition of candidate cell(s), support to acquire TA of a subset of configured candidate cells.</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Rule for determining the subset of candidate cells.</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Maximum size of the subset of candidate cells, e.g., 3 or 4.</w:t>
      </w:r>
    </w:p>
    <w:p>
      <w:pPr>
        <w:snapToGrid w:val="0"/>
        <w:spacing w:before="72" w:beforeLines="30" w:after="72" w:afterLines="30" w:line="288" w:lineRule="auto"/>
        <w:ind w:left="-60"/>
        <w:jc w:val="both"/>
        <w:rPr>
          <w:rFonts w:eastAsia="宋体"/>
          <w:i/>
          <w:iCs/>
        </w:rPr>
      </w:pPr>
      <w:r>
        <w:rPr>
          <w:rFonts w:hint="eastAsia" w:eastAsia="宋体"/>
          <w:b/>
          <w:bCs/>
          <w:i/>
          <w:iCs/>
        </w:rPr>
        <w:t>Proposal 3:</w:t>
      </w:r>
      <w:r>
        <w:rPr>
          <w:rFonts w:hint="eastAsia" w:eastAsia="宋体"/>
          <w:i/>
          <w:iCs/>
        </w:rPr>
        <w:t xml:space="preserve"> For TA acquisition of candidate cell(s), support to acquire one TA of a candidate cell.</w:t>
      </w:r>
    </w:p>
    <w:p>
      <w:pPr>
        <w:numPr>
          <w:ilvl w:val="0"/>
          <w:numId w:val="12"/>
        </w:numPr>
        <w:snapToGrid w:val="0"/>
        <w:spacing w:before="72" w:beforeLines="30" w:after="72" w:afterLines="30" w:line="288" w:lineRule="auto"/>
        <w:ind w:left="782" w:hanging="363"/>
        <w:jc w:val="both"/>
        <w:rPr>
          <w:rFonts w:eastAsia="宋体"/>
          <w:i/>
          <w:szCs w:val="21"/>
        </w:rPr>
      </w:pPr>
      <w:r>
        <w:rPr>
          <w:rFonts w:hint="eastAsia" w:eastAsia="宋体"/>
          <w:i/>
          <w:szCs w:val="21"/>
        </w:rPr>
        <w:t>FFS: Whether to acquire more than one TAs of a candidate cell, wherein each TA is associated with a TAG.</w:t>
      </w:r>
    </w:p>
    <w:p>
      <w:pPr>
        <w:snapToGrid w:val="0"/>
        <w:spacing w:before="72" w:beforeLines="30" w:after="72" w:afterLines="30" w:line="288" w:lineRule="auto"/>
        <w:ind w:left="-60"/>
        <w:jc w:val="both"/>
        <w:rPr>
          <w:rFonts w:eastAsia="宋体"/>
        </w:rPr>
      </w:pPr>
      <w:r>
        <w:rPr>
          <w:rFonts w:hint="eastAsia" w:eastAsia="宋体"/>
          <w:b/>
          <w:bCs/>
          <w:i/>
          <w:iCs/>
        </w:rPr>
        <w:t>Proposal 4:</w:t>
      </w:r>
      <w:r>
        <w:rPr>
          <w:rFonts w:hint="eastAsia" w:eastAsia="宋体"/>
          <w:i/>
          <w:iCs/>
        </w:rPr>
        <w:t xml:space="preserve"> PDCCH order based RACH should be supported to acquire timing advance for the candidate cells.</w:t>
      </w:r>
    </w:p>
    <w:p>
      <w:pPr>
        <w:snapToGrid w:val="0"/>
        <w:spacing w:before="72" w:beforeLines="30" w:after="72" w:afterLines="30" w:line="288" w:lineRule="auto"/>
        <w:ind w:left="-60"/>
        <w:jc w:val="both"/>
        <w:rPr>
          <w:rFonts w:eastAsia="宋体"/>
        </w:rPr>
      </w:pPr>
      <w:r>
        <w:rPr>
          <w:rFonts w:hint="eastAsia" w:eastAsia="宋体"/>
          <w:b/>
          <w:bCs/>
          <w:i/>
          <w:iCs/>
        </w:rPr>
        <w:t>Proposal 5:</w:t>
      </w:r>
      <w:r>
        <w:rPr>
          <w:rFonts w:hint="eastAsia" w:eastAsia="宋体"/>
          <w:i/>
          <w:iCs/>
        </w:rPr>
        <w:t xml:space="preserve"> PDCCH order command from source cell can trigger RACH procedures for candidate cells. </w:t>
      </w:r>
    </w:p>
    <w:p>
      <w:pPr>
        <w:snapToGrid w:val="0"/>
        <w:spacing w:before="72" w:beforeLines="30" w:after="72" w:afterLines="30" w:line="288" w:lineRule="auto"/>
        <w:ind w:left="-60"/>
        <w:jc w:val="both"/>
        <w:rPr>
          <w:rFonts w:eastAsia="宋体"/>
          <w:i/>
          <w:iCs/>
        </w:rPr>
      </w:pPr>
      <w:r>
        <w:rPr>
          <w:rFonts w:hint="eastAsia" w:eastAsia="宋体"/>
          <w:b/>
          <w:bCs/>
          <w:i/>
          <w:iCs/>
        </w:rPr>
        <w:t>Proposal 6:</w:t>
      </w:r>
      <w:r>
        <w:rPr>
          <w:rFonts w:hint="eastAsia" w:eastAsia="宋体"/>
          <w:i/>
          <w:iCs/>
        </w:rPr>
        <w:t xml:space="preserve"> RACH-less mechanism in LTE can be supported for L1/L2 triggered mobility TA acquisition if target cell is small cell or source and target cells belong to the same TAG.</w:t>
      </w:r>
    </w:p>
    <w:p>
      <w:pPr>
        <w:snapToGrid w:val="0"/>
        <w:spacing w:before="72" w:beforeLines="30" w:after="72" w:afterLines="30" w:line="288" w:lineRule="auto"/>
        <w:ind w:left="-60"/>
        <w:jc w:val="both"/>
        <w:rPr>
          <w:rFonts w:eastAsia="宋体"/>
          <w:i/>
          <w:iCs/>
        </w:rPr>
      </w:pPr>
      <w:r>
        <w:rPr>
          <w:rFonts w:hint="eastAsia" w:eastAsia="宋体"/>
          <w:b/>
          <w:bCs/>
          <w:i/>
          <w:iCs/>
        </w:rPr>
        <w:t>Proposal 7:</w:t>
      </w:r>
      <w:r>
        <w:rPr>
          <w:rFonts w:hint="eastAsia" w:eastAsia="宋体"/>
          <w:i/>
          <w:iCs/>
        </w:rPr>
        <w:t xml:space="preserve"> On mechanism to acquire TA of the candidate cells, RAN1 further evaluates reliability and latency of RACH-less solutions except RACH-less mechanism as in LTE.</w:t>
      </w:r>
    </w:p>
    <w:p>
      <w:pPr>
        <w:snapToGrid w:val="0"/>
        <w:spacing w:before="72" w:beforeLines="30" w:after="72" w:afterLines="30" w:line="288" w:lineRule="auto"/>
        <w:ind w:left="-60"/>
        <w:jc w:val="both"/>
        <w:rPr>
          <w:rFonts w:eastAsia="宋体"/>
          <w:i/>
          <w:iCs/>
        </w:rPr>
      </w:pPr>
      <w:r>
        <w:rPr>
          <w:rFonts w:hint="eastAsia" w:eastAsia="宋体"/>
          <w:b/>
          <w:bCs/>
          <w:i/>
          <w:iCs/>
        </w:rPr>
        <w:t>Proposal 8:</w:t>
      </w:r>
      <w:r>
        <w:rPr>
          <w:rFonts w:hint="eastAsia" w:eastAsia="宋体"/>
          <w:i/>
          <w:iCs/>
        </w:rPr>
        <w:t xml:space="preserve"> For TA acquisition of candidate cell</w:t>
      </w:r>
      <w:r>
        <w:rPr>
          <w:rFonts w:eastAsia="宋体"/>
          <w:i/>
          <w:iCs/>
        </w:rPr>
        <w:t>(s)</w:t>
      </w:r>
      <w:r>
        <w:rPr>
          <w:rFonts w:hint="eastAsia" w:eastAsia="宋体"/>
          <w:i/>
          <w:iCs/>
        </w:rPr>
        <w:t xml:space="preserve"> before cell switch command is received, support to associate TA and candidate cell explicitly (Alt2).</w:t>
      </w:r>
    </w:p>
    <w:p>
      <w:pPr>
        <w:numPr>
          <w:ilvl w:val="0"/>
          <w:numId w:val="12"/>
        </w:numPr>
        <w:snapToGrid w:val="0"/>
        <w:spacing w:before="72" w:beforeLines="30" w:after="72" w:afterLines="30" w:line="288" w:lineRule="auto"/>
        <w:ind w:left="782" w:hanging="363"/>
        <w:jc w:val="both"/>
        <w:rPr>
          <w:rFonts w:eastAsia="宋体"/>
        </w:rPr>
      </w:pPr>
      <w:r>
        <w:rPr>
          <w:rFonts w:hint="eastAsia" w:eastAsia="宋体"/>
          <w:i/>
          <w:iCs/>
        </w:rPr>
        <w:t xml:space="preserve">Note: Detailed association should be determined after the mechanism to acquire TA is </w:t>
      </w:r>
      <w:r>
        <w:rPr>
          <w:rFonts w:eastAsia="宋体"/>
          <w:i/>
          <w:iCs/>
        </w:rPr>
        <w:t>stable</w:t>
      </w:r>
      <w:r>
        <w:rPr>
          <w:rFonts w:hint="eastAsia" w:eastAsia="宋体"/>
          <w:i/>
          <w:iCs/>
        </w:rPr>
        <w:t>.</w:t>
      </w:r>
    </w:p>
    <w:p>
      <w:pPr>
        <w:snapToGrid w:val="0"/>
        <w:spacing w:before="72" w:beforeLines="30" w:after="72" w:afterLines="30" w:line="288" w:lineRule="auto"/>
        <w:ind w:left="-60"/>
        <w:jc w:val="both"/>
        <w:rPr>
          <w:rFonts w:eastAsia="宋体"/>
          <w:i/>
          <w:iCs/>
        </w:rPr>
      </w:pPr>
      <w:r>
        <w:rPr>
          <w:rFonts w:hint="eastAsia" w:eastAsia="宋体"/>
          <w:b/>
          <w:bCs/>
          <w:i/>
          <w:iCs/>
        </w:rPr>
        <w:t>Proposal 9:</w:t>
      </w:r>
      <w:r>
        <w:rPr>
          <w:rFonts w:hint="eastAsia" w:eastAsia="宋体"/>
          <w:i/>
          <w:iCs/>
        </w:rPr>
        <w:t xml:space="preserve"> Mechanisms to endure validity of timing advance acquired for candidate cells should be further considered.</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6"/>
        </w:numPr>
        <w:snapToGrid w:val="0"/>
        <w:spacing w:before="72" w:beforeLines="30" w:after="72" w:afterLines="30" w:line="288" w:lineRule="auto"/>
        <w:jc w:val="both"/>
        <w:rPr>
          <w:bCs/>
          <w:sz w:val="20"/>
          <w:szCs w:val="20"/>
        </w:rPr>
      </w:pPr>
      <w:r>
        <w:rPr>
          <w:bCs/>
          <w:sz w:val="20"/>
          <w:szCs w:val="20"/>
        </w:rPr>
        <w:t>RP-222332, Revised WID on Further NR mobility enhancements</w:t>
      </w:r>
      <w:r>
        <w:rPr>
          <w:rFonts w:hint="eastAsia"/>
          <w:bCs/>
          <w:sz w:val="20"/>
          <w:szCs w:val="20"/>
        </w:rPr>
        <w:t>,</w:t>
      </w:r>
      <w:r>
        <w:rPr>
          <w:bCs/>
          <w:sz w:val="20"/>
          <w:szCs w:val="20"/>
        </w:rPr>
        <w:t xml:space="preserve"> MediaTek (Moderator</w:t>
      </w:r>
      <w:r>
        <w:rPr>
          <w:rFonts w:hint="eastAsia"/>
          <w:bCs/>
          <w:sz w:val="20"/>
          <w:szCs w:val="20"/>
        </w:rPr>
        <w:t>)</w:t>
      </w:r>
    </w:p>
    <w:p>
      <w:pPr>
        <w:pStyle w:val="73"/>
        <w:numPr>
          <w:ilvl w:val="0"/>
          <w:numId w:val="16"/>
        </w:numPr>
        <w:snapToGrid w:val="0"/>
        <w:spacing w:before="72" w:beforeLines="30" w:after="72" w:afterLines="30" w:line="288" w:lineRule="auto"/>
        <w:jc w:val="both"/>
        <w:rPr>
          <w:bCs/>
          <w:sz w:val="20"/>
          <w:szCs w:val="20"/>
        </w:rPr>
      </w:pPr>
      <w:r>
        <w:rPr>
          <w:rFonts w:hint="eastAsia"/>
          <w:bCs/>
          <w:sz w:val="20"/>
          <w:szCs w:val="20"/>
        </w:rPr>
        <w:t>R1-2210942, L1 enhancements for inter-cell beam management, ZTE</w:t>
      </w:r>
    </w:p>
    <w:p>
      <w:pPr>
        <w:pStyle w:val="73"/>
        <w:numPr>
          <w:ilvl w:val="0"/>
          <w:numId w:val="16"/>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RAN1#110bis-e v16</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819BD94"/>
    <w:multiLevelType w:val="multilevel"/>
    <w:tmpl w:val="9819BD94"/>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0D3A0FE1"/>
    <w:multiLevelType w:val="singleLevel"/>
    <w:tmpl w:val="0D3A0FE1"/>
    <w:lvl w:ilvl="0" w:tentative="0">
      <w:start w:val="1"/>
      <w:numFmt w:val="bullet"/>
      <w:lvlText w:val=""/>
      <w:lvlJc w:val="left"/>
      <w:pPr>
        <w:ind w:left="420" w:hanging="420"/>
      </w:pPr>
      <w:rPr>
        <w:rFonts w:hint="default" w:ascii="Wingdings" w:hAnsi="Wingdings"/>
      </w:rPr>
    </w:lvl>
  </w:abstractNum>
  <w:abstractNum w:abstractNumId="6">
    <w:nsid w:val="1CE5530B"/>
    <w:multiLevelType w:val="multilevel"/>
    <w:tmpl w:val="1CE5530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26CE1308"/>
    <w:multiLevelType w:val="singleLevel"/>
    <w:tmpl w:val="26CE1308"/>
    <w:lvl w:ilvl="0" w:tentative="0">
      <w:start w:val="1"/>
      <w:numFmt w:val="bullet"/>
      <w:lvlText w:val=""/>
      <w:lvlJc w:val="left"/>
      <w:pPr>
        <w:ind w:left="420" w:hanging="420"/>
      </w:pPr>
      <w:rPr>
        <w:rFonts w:hint="default" w:ascii="Wingdings" w:hAnsi="Wingdings"/>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5"/>
  </w:num>
  <w:num w:numId="4">
    <w:abstractNumId w:val="3"/>
  </w:num>
  <w:num w:numId="5">
    <w:abstractNumId w:val="14"/>
  </w:num>
  <w:num w:numId="6">
    <w:abstractNumId w:val="9"/>
  </w:num>
  <w:num w:numId="7">
    <w:abstractNumId w:val="7"/>
  </w:num>
  <w:num w:numId="8">
    <w:abstractNumId w:val="10"/>
  </w:num>
  <w:num w:numId="9">
    <w:abstractNumId w:val="4"/>
  </w:num>
  <w:num w:numId="10">
    <w:abstractNumId w:val="13"/>
  </w:num>
  <w:num w:numId="11">
    <w:abstractNumId w:val="12"/>
  </w:num>
  <w:num w:numId="12">
    <w:abstractNumId w:val="6"/>
  </w:num>
  <w:num w:numId="13">
    <w:abstractNumId w:val="1"/>
  </w:num>
  <w:num w:numId="14">
    <w:abstractNumId w:val="5"/>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6238A"/>
    <w:rsid w:val="01A75DEE"/>
    <w:rsid w:val="01AB094A"/>
    <w:rsid w:val="01AE21DC"/>
    <w:rsid w:val="01B306E4"/>
    <w:rsid w:val="01B95307"/>
    <w:rsid w:val="01D01229"/>
    <w:rsid w:val="01D27A5F"/>
    <w:rsid w:val="01E72683"/>
    <w:rsid w:val="01E7746E"/>
    <w:rsid w:val="01F37365"/>
    <w:rsid w:val="02004B2C"/>
    <w:rsid w:val="0201766A"/>
    <w:rsid w:val="02027C67"/>
    <w:rsid w:val="020B20DD"/>
    <w:rsid w:val="02151F95"/>
    <w:rsid w:val="021558A4"/>
    <w:rsid w:val="02274CF6"/>
    <w:rsid w:val="022A4AA1"/>
    <w:rsid w:val="022E47B0"/>
    <w:rsid w:val="02320E86"/>
    <w:rsid w:val="023216FA"/>
    <w:rsid w:val="02547F7B"/>
    <w:rsid w:val="02554999"/>
    <w:rsid w:val="02565169"/>
    <w:rsid w:val="02574326"/>
    <w:rsid w:val="025B75F9"/>
    <w:rsid w:val="02762CB4"/>
    <w:rsid w:val="02767EF6"/>
    <w:rsid w:val="027F75CB"/>
    <w:rsid w:val="02874D3F"/>
    <w:rsid w:val="029B47FF"/>
    <w:rsid w:val="029E669A"/>
    <w:rsid w:val="02B34E07"/>
    <w:rsid w:val="02DC5D29"/>
    <w:rsid w:val="02E818F1"/>
    <w:rsid w:val="02EE6889"/>
    <w:rsid w:val="02F026A4"/>
    <w:rsid w:val="030051C4"/>
    <w:rsid w:val="03016B58"/>
    <w:rsid w:val="030F5EB8"/>
    <w:rsid w:val="031B3D3A"/>
    <w:rsid w:val="03280DFD"/>
    <w:rsid w:val="03300F14"/>
    <w:rsid w:val="03382F46"/>
    <w:rsid w:val="033A53C5"/>
    <w:rsid w:val="033B6CF9"/>
    <w:rsid w:val="033D46E5"/>
    <w:rsid w:val="03460D15"/>
    <w:rsid w:val="03544E52"/>
    <w:rsid w:val="0362687D"/>
    <w:rsid w:val="03653EA6"/>
    <w:rsid w:val="037C375A"/>
    <w:rsid w:val="037C3EB8"/>
    <w:rsid w:val="037C5BED"/>
    <w:rsid w:val="038317D7"/>
    <w:rsid w:val="03871F70"/>
    <w:rsid w:val="03915486"/>
    <w:rsid w:val="03976A82"/>
    <w:rsid w:val="03AE2B70"/>
    <w:rsid w:val="03AE401C"/>
    <w:rsid w:val="03B9690F"/>
    <w:rsid w:val="03BE5255"/>
    <w:rsid w:val="03C200B6"/>
    <w:rsid w:val="03D81924"/>
    <w:rsid w:val="03E85349"/>
    <w:rsid w:val="03E9024B"/>
    <w:rsid w:val="03E925DE"/>
    <w:rsid w:val="03EF321E"/>
    <w:rsid w:val="03F638B5"/>
    <w:rsid w:val="042B188D"/>
    <w:rsid w:val="04314521"/>
    <w:rsid w:val="043547BD"/>
    <w:rsid w:val="043A302C"/>
    <w:rsid w:val="043B4D0A"/>
    <w:rsid w:val="043F479D"/>
    <w:rsid w:val="04515159"/>
    <w:rsid w:val="045453B9"/>
    <w:rsid w:val="04551E9A"/>
    <w:rsid w:val="04694EAC"/>
    <w:rsid w:val="046A03D5"/>
    <w:rsid w:val="046C35A2"/>
    <w:rsid w:val="04756B3D"/>
    <w:rsid w:val="04874F57"/>
    <w:rsid w:val="048C2D5A"/>
    <w:rsid w:val="0492209E"/>
    <w:rsid w:val="049406C4"/>
    <w:rsid w:val="04B345F7"/>
    <w:rsid w:val="04BE7DD0"/>
    <w:rsid w:val="04C174A0"/>
    <w:rsid w:val="04CD0148"/>
    <w:rsid w:val="04EB3650"/>
    <w:rsid w:val="050D0125"/>
    <w:rsid w:val="052B2B3D"/>
    <w:rsid w:val="054445DB"/>
    <w:rsid w:val="055A06C9"/>
    <w:rsid w:val="05644CA9"/>
    <w:rsid w:val="056B33A0"/>
    <w:rsid w:val="05702DF2"/>
    <w:rsid w:val="05733EFD"/>
    <w:rsid w:val="057D4634"/>
    <w:rsid w:val="05861067"/>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3C234E"/>
    <w:rsid w:val="064244D9"/>
    <w:rsid w:val="06511ACC"/>
    <w:rsid w:val="06564BA4"/>
    <w:rsid w:val="0659121E"/>
    <w:rsid w:val="06666CFB"/>
    <w:rsid w:val="067751BD"/>
    <w:rsid w:val="068A40D9"/>
    <w:rsid w:val="06A11B02"/>
    <w:rsid w:val="06B34C51"/>
    <w:rsid w:val="06BA6ABF"/>
    <w:rsid w:val="06C62058"/>
    <w:rsid w:val="06CF7159"/>
    <w:rsid w:val="06D32D7E"/>
    <w:rsid w:val="06E21138"/>
    <w:rsid w:val="06E64C63"/>
    <w:rsid w:val="06F24EF2"/>
    <w:rsid w:val="07355D41"/>
    <w:rsid w:val="073F354C"/>
    <w:rsid w:val="07470651"/>
    <w:rsid w:val="074F79E7"/>
    <w:rsid w:val="075815C4"/>
    <w:rsid w:val="075B2260"/>
    <w:rsid w:val="078514FC"/>
    <w:rsid w:val="07934010"/>
    <w:rsid w:val="07973398"/>
    <w:rsid w:val="079D12CF"/>
    <w:rsid w:val="07A46BE4"/>
    <w:rsid w:val="07AD6B61"/>
    <w:rsid w:val="07AE7932"/>
    <w:rsid w:val="07B814E5"/>
    <w:rsid w:val="07C2220C"/>
    <w:rsid w:val="07CB0A11"/>
    <w:rsid w:val="07D013A8"/>
    <w:rsid w:val="07D20F20"/>
    <w:rsid w:val="07D648D8"/>
    <w:rsid w:val="07E22A7A"/>
    <w:rsid w:val="07FD44E9"/>
    <w:rsid w:val="0805407D"/>
    <w:rsid w:val="08127126"/>
    <w:rsid w:val="08132E8B"/>
    <w:rsid w:val="081D706E"/>
    <w:rsid w:val="081E57A0"/>
    <w:rsid w:val="085D519A"/>
    <w:rsid w:val="086378F2"/>
    <w:rsid w:val="086D1BC3"/>
    <w:rsid w:val="08706B4B"/>
    <w:rsid w:val="088B79C8"/>
    <w:rsid w:val="08A47F26"/>
    <w:rsid w:val="08AB1841"/>
    <w:rsid w:val="08CE61CB"/>
    <w:rsid w:val="08D2064E"/>
    <w:rsid w:val="08D36900"/>
    <w:rsid w:val="08EA01A2"/>
    <w:rsid w:val="08F44BC5"/>
    <w:rsid w:val="08FA203B"/>
    <w:rsid w:val="08FF7AF8"/>
    <w:rsid w:val="090172D6"/>
    <w:rsid w:val="0923103D"/>
    <w:rsid w:val="093A1D12"/>
    <w:rsid w:val="093A51B7"/>
    <w:rsid w:val="094B14E7"/>
    <w:rsid w:val="095017F1"/>
    <w:rsid w:val="095256C8"/>
    <w:rsid w:val="09664D4F"/>
    <w:rsid w:val="096807A5"/>
    <w:rsid w:val="0970282E"/>
    <w:rsid w:val="09AB29D4"/>
    <w:rsid w:val="09B12FCF"/>
    <w:rsid w:val="09C52F00"/>
    <w:rsid w:val="09D65750"/>
    <w:rsid w:val="09E87090"/>
    <w:rsid w:val="09FD0440"/>
    <w:rsid w:val="0A0518AB"/>
    <w:rsid w:val="0A0D50DF"/>
    <w:rsid w:val="0A32370E"/>
    <w:rsid w:val="0A3247B9"/>
    <w:rsid w:val="0A37393E"/>
    <w:rsid w:val="0A573A51"/>
    <w:rsid w:val="0A585A2D"/>
    <w:rsid w:val="0A594E3E"/>
    <w:rsid w:val="0A5B3018"/>
    <w:rsid w:val="0A5C768D"/>
    <w:rsid w:val="0A6D2427"/>
    <w:rsid w:val="0A6F50FD"/>
    <w:rsid w:val="0A934843"/>
    <w:rsid w:val="0A980D85"/>
    <w:rsid w:val="0A9E4A8D"/>
    <w:rsid w:val="0A9F2012"/>
    <w:rsid w:val="0AA36B33"/>
    <w:rsid w:val="0AA84747"/>
    <w:rsid w:val="0AAA6D9C"/>
    <w:rsid w:val="0AB15DD5"/>
    <w:rsid w:val="0AB53627"/>
    <w:rsid w:val="0AB6376C"/>
    <w:rsid w:val="0ABE753C"/>
    <w:rsid w:val="0ACD04CB"/>
    <w:rsid w:val="0ACE1EAB"/>
    <w:rsid w:val="0AE1593F"/>
    <w:rsid w:val="0AE57C7B"/>
    <w:rsid w:val="0AE65CB9"/>
    <w:rsid w:val="0AE71F9A"/>
    <w:rsid w:val="0AE96B11"/>
    <w:rsid w:val="0AFD09EB"/>
    <w:rsid w:val="0AFF05E6"/>
    <w:rsid w:val="0AFF5A13"/>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314C7"/>
    <w:rsid w:val="0C342F04"/>
    <w:rsid w:val="0C5E5505"/>
    <w:rsid w:val="0C6F4E58"/>
    <w:rsid w:val="0C76751C"/>
    <w:rsid w:val="0CE75704"/>
    <w:rsid w:val="0CF848ED"/>
    <w:rsid w:val="0CFB1DB9"/>
    <w:rsid w:val="0D103D70"/>
    <w:rsid w:val="0D220294"/>
    <w:rsid w:val="0D227CAC"/>
    <w:rsid w:val="0D246C69"/>
    <w:rsid w:val="0D283356"/>
    <w:rsid w:val="0D2C399D"/>
    <w:rsid w:val="0D3A4A42"/>
    <w:rsid w:val="0D3E0460"/>
    <w:rsid w:val="0D3E11CB"/>
    <w:rsid w:val="0D414874"/>
    <w:rsid w:val="0D4660A4"/>
    <w:rsid w:val="0D5773D6"/>
    <w:rsid w:val="0D594DB6"/>
    <w:rsid w:val="0D632B1E"/>
    <w:rsid w:val="0D6E771D"/>
    <w:rsid w:val="0D733852"/>
    <w:rsid w:val="0D7D7848"/>
    <w:rsid w:val="0D80206A"/>
    <w:rsid w:val="0D8416C8"/>
    <w:rsid w:val="0D8E173E"/>
    <w:rsid w:val="0D956BBA"/>
    <w:rsid w:val="0DA10A04"/>
    <w:rsid w:val="0DD74FA9"/>
    <w:rsid w:val="0DE1129E"/>
    <w:rsid w:val="0DE3746F"/>
    <w:rsid w:val="0DE46E88"/>
    <w:rsid w:val="0DF13B47"/>
    <w:rsid w:val="0E0A5187"/>
    <w:rsid w:val="0E332166"/>
    <w:rsid w:val="0E3917FF"/>
    <w:rsid w:val="0E5F4090"/>
    <w:rsid w:val="0E613656"/>
    <w:rsid w:val="0E72787E"/>
    <w:rsid w:val="0E824285"/>
    <w:rsid w:val="0E86024B"/>
    <w:rsid w:val="0E983A75"/>
    <w:rsid w:val="0E9B523F"/>
    <w:rsid w:val="0E9F5739"/>
    <w:rsid w:val="0EC3008E"/>
    <w:rsid w:val="0EDB339F"/>
    <w:rsid w:val="0EE314D7"/>
    <w:rsid w:val="0EFE75E3"/>
    <w:rsid w:val="0F125211"/>
    <w:rsid w:val="0F152A9D"/>
    <w:rsid w:val="0F1E6D2F"/>
    <w:rsid w:val="0F1E7B0D"/>
    <w:rsid w:val="0F4743A6"/>
    <w:rsid w:val="0F5E11E0"/>
    <w:rsid w:val="0F62047F"/>
    <w:rsid w:val="0F6A4DD3"/>
    <w:rsid w:val="0F6B41F3"/>
    <w:rsid w:val="0F7A2097"/>
    <w:rsid w:val="0F7F1100"/>
    <w:rsid w:val="0F816B6A"/>
    <w:rsid w:val="0F82210C"/>
    <w:rsid w:val="0F91537C"/>
    <w:rsid w:val="0F936983"/>
    <w:rsid w:val="0F950757"/>
    <w:rsid w:val="0FA023BF"/>
    <w:rsid w:val="0FA20544"/>
    <w:rsid w:val="0FA36B70"/>
    <w:rsid w:val="0FA37671"/>
    <w:rsid w:val="0FAC2C6D"/>
    <w:rsid w:val="0FB019C5"/>
    <w:rsid w:val="0FB70395"/>
    <w:rsid w:val="0FBA4112"/>
    <w:rsid w:val="0FBB10D0"/>
    <w:rsid w:val="0FD07008"/>
    <w:rsid w:val="0FDA6A10"/>
    <w:rsid w:val="10040C3F"/>
    <w:rsid w:val="100B59FA"/>
    <w:rsid w:val="10110CDB"/>
    <w:rsid w:val="10206D1E"/>
    <w:rsid w:val="10357330"/>
    <w:rsid w:val="103B7609"/>
    <w:rsid w:val="105F040B"/>
    <w:rsid w:val="10657CB6"/>
    <w:rsid w:val="10701270"/>
    <w:rsid w:val="107A5169"/>
    <w:rsid w:val="107B4EBF"/>
    <w:rsid w:val="107C4D2C"/>
    <w:rsid w:val="107D25CC"/>
    <w:rsid w:val="10881C30"/>
    <w:rsid w:val="108A6F8A"/>
    <w:rsid w:val="10907B90"/>
    <w:rsid w:val="10A27296"/>
    <w:rsid w:val="10A32DF1"/>
    <w:rsid w:val="10A45B57"/>
    <w:rsid w:val="10A50D79"/>
    <w:rsid w:val="10AB24DF"/>
    <w:rsid w:val="10BD3EFD"/>
    <w:rsid w:val="10C04807"/>
    <w:rsid w:val="10D42E50"/>
    <w:rsid w:val="10D653BA"/>
    <w:rsid w:val="10DB6356"/>
    <w:rsid w:val="10EE1A70"/>
    <w:rsid w:val="10EF5ED1"/>
    <w:rsid w:val="112A5200"/>
    <w:rsid w:val="112B7604"/>
    <w:rsid w:val="112E2697"/>
    <w:rsid w:val="11306888"/>
    <w:rsid w:val="114C4009"/>
    <w:rsid w:val="1168799E"/>
    <w:rsid w:val="118B5FDD"/>
    <w:rsid w:val="118D5EFC"/>
    <w:rsid w:val="11A10C39"/>
    <w:rsid w:val="11A3103A"/>
    <w:rsid w:val="11A64DBC"/>
    <w:rsid w:val="11A81D29"/>
    <w:rsid w:val="11AF324A"/>
    <w:rsid w:val="11B31B1D"/>
    <w:rsid w:val="11B814E6"/>
    <w:rsid w:val="11BC35EF"/>
    <w:rsid w:val="11C47A5C"/>
    <w:rsid w:val="11C557B7"/>
    <w:rsid w:val="11C86B7A"/>
    <w:rsid w:val="11F7368D"/>
    <w:rsid w:val="11F92AE5"/>
    <w:rsid w:val="120B6EA9"/>
    <w:rsid w:val="1211300E"/>
    <w:rsid w:val="1228310E"/>
    <w:rsid w:val="12313D6F"/>
    <w:rsid w:val="12325B1D"/>
    <w:rsid w:val="1244691E"/>
    <w:rsid w:val="1251591B"/>
    <w:rsid w:val="12610602"/>
    <w:rsid w:val="126B461E"/>
    <w:rsid w:val="127D72F2"/>
    <w:rsid w:val="12A908D3"/>
    <w:rsid w:val="12AA515C"/>
    <w:rsid w:val="12AA7F02"/>
    <w:rsid w:val="12B31A9B"/>
    <w:rsid w:val="12B47253"/>
    <w:rsid w:val="12C14396"/>
    <w:rsid w:val="12CA5052"/>
    <w:rsid w:val="12DE33CA"/>
    <w:rsid w:val="12EA7758"/>
    <w:rsid w:val="12FC274E"/>
    <w:rsid w:val="12FF52DE"/>
    <w:rsid w:val="13030235"/>
    <w:rsid w:val="13063F94"/>
    <w:rsid w:val="132E1E73"/>
    <w:rsid w:val="13344C16"/>
    <w:rsid w:val="1343505A"/>
    <w:rsid w:val="13544A6B"/>
    <w:rsid w:val="13596CEC"/>
    <w:rsid w:val="135C3AB9"/>
    <w:rsid w:val="136B08B3"/>
    <w:rsid w:val="137A40BD"/>
    <w:rsid w:val="13845F37"/>
    <w:rsid w:val="13863633"/>
    <w:rsid w:val="138F4ADA"/>
    <w:rsid w:val="13910B1E"/>
    <w:rsid w:val="13B563DA"/>
    <w:rsid w:val="13BD31AB"/>
    <w:rsid w:val="13C53BCF"/>
    <w:rsid w:val="13C55B19"/>
    <w:rsid w:val="13CD27B6"/>
    <w:rsid w:val="13D912A0"/>
    <w:rsid w:val="13E532CA"/>
    <w:rsid w:val="13ED0B0B"/>
    <w:rsid w:val="13ED7D7F"/>
    <w:rsid w:val="13F96221"/>
    <w:rsid w:val="14007100"/>
    <w:rsid w:val="14145A78"/>
    <w:rsid w:val="14176353"/>
    <w:rsid w:val="141F7FB3"/>
    <w:rsid w:val="14242FDA"/>
    <w:rsid w:val="142B12C2"/>
    <w:rsid w:val="14336C10"/>
    <w:rsid w:val="14436E72"/>
    <w:rsid w:val="144F55C3"/>
    <w:rsid w:val="1450322B"/>
    <w:rsid w:val="145207A2"/>
    <w:rsid w:val="14547E86"/>
    <w:rsid w:val="14637D36"/>
    <w:rsid w:val="147C2A02"/>
    <w:rsid w:val="147E33CA"/>
    <w:rsid w:val="1487373C"/>
    <w:rsid w:val="14960C1B"/>
    <w:rsid w:val="14A6749E"/>
    <w:rsid w:val="14B0700C"/>
    <w:rsid w:val="14C02505"/>
    <w:rsid w:val="14C34089"/>
    <w:rsid w:val="14D35BD9"/>
    <w:rsid w:val="14DB33FC"/>
    <w:rsid w:val="14DE0AFC"/>
    <w:rsid w:val="14E66113"/>
    <w:rsid w:val="14E7787F"/>
    <w:rsid w:val="14F44F2E"/>
    <w:rsid w:val="15416178"/>
    <w:rsid w:val="154E0D36"/>
    <w:rsid w:val="1561603B"/>
    <w:rsid w:val="15690DB0"/>
    <w:rsid w:val="157E6456"/>
    <w:rsid w:val="158F48E5"/>
    <w:rsid w:val="15C94A90"/>
    <w:rsid w:val="15D74588"/>
    <w:rsid w:val="15E34CC4"/>
    <w:rsid w:val="15EB4378"/>
    <w:rsid w:val="15FB4E72"/>
    <w:rsid w:val="160B185E"/>
    <w:rsid w:val="16240B7E"/>
    <w:rsid w:val="1628036C"/>
    <w:rsid w:val="162F15C9"/>
    <w:rsid w:val="16435A3F"/>
    <w:rsid w:val="164E1379"/>
    <w:rsid w:val="166A3064"/>
    <w:rsid w:val="16702D89"/>
    <w:rsid w:val="16704155"/>
    <w:rsid w:val="16796F0F"/>
    <w:rsid w:val="1688556A"/>
    <w:rsid w:val="16A00FDF"/>
    <w:rsid w:val="16A32AAC"/>
    <w:rsid w:val="16A470C1"/>
    <w:rsid w:val="16AA6667"/>
    <w:rsid w:val="16AF0615"/>
    <w:rsid w:val="16B71A4D"/>
    <w:rsid w:val="16BD0B49"/>
    <w:rsid w:val="16D50CFC"/>
    <w:rsid w:val="16E33AB3"/>
    <w:rsid w:val="16EB76EF"/>
    <w:rsid w:val="17141C1D"/>
    <w:rsid w:val="17155605"/>
    <w:rsid w:val="171B0546"/>
    <w:rsid w:val="172C196E"/>
    <w:rsid w:val="17304A49"/>
    <w:rsid w:val="173353C2"/>
    <w:rsid w:val="174224E7"/>
    <w:rsid w:val="17493381"/>
    <w:rsid w:val="176149A4"/>
    <w:rsid w:val="176E34EB"/>
    <w:rsid w:val="178102C8"/>
    <w:rsid w:val="17874ED3"/>
    <w:rsid w:val="17886A2C"/>
    <w:rsid w:val="178F26E7"/>
    <w:rsid w:val="1791277B"/>
    <w:rsid w:val="17966843"/>
    <w:rsid w:val="17A9660F"/>
    <w:rsid w:val="17D04B6E"/>
    <w:rsid w:val="17D80F4C"/>
    <w:rsid w:val="17E14521"/>
    <w:rsid w:val="17F779C2"/>
    <w:rsid w:val="18002CEE"/>
    <w:rsid w:val="180414A0"/>
    <w:rsid w:val="18077070"/>
    <w:rsid w:val="18117661"/>
    <w:rsid w:val="18414CA2"/>
    <w:rsid w:val="18435224"/>
    <w:rsid w:val="18523ADE"/>
    <w:rsid w:val="18660CD4"/>
    <w:rsid w:val="1866694B"/>
    <w:rsid w:val="186C1ACE"/>
    <w:rsid w:val="186D267B"/>
    <w:rsid w:val="1888053D"/>
    <w:rsid w:val="18890477"/>
    <w:rsid w:val="188C5B30"/>
    <w:rsid w:val="188C6C7D"/>
    <w:rsid w:val="18960812"/>
    <w:rsid w:val="189C7EF6"/>
    <w:rsid w:val="18B04B4D"/>
    <w:rsid w:val="18C1629B"/>
    <w:rsid w:val="18C5316D"/>
    <w:rsid w:val="18CC3F26"/>
    <w:rsid w:val="18E87E12"/>
    <w:rsid w:val="18F5052C"/>
    <w:rsid w:val="190B01D6"/>
    <w:rsid w:val="19162082"/>
    <w:rsid w:val="191D14D9"/>
    <w:rsid w:val="191D6655"/>
    <w:rsid w:val="19693EEF"/>
    <w:rsid w:val="196B5F41"/>
    <w:rsid w:val="19963681"/>
    <w:rsid w:val="199860B4"/>
    <w:rsid w:val="199E1567"/>
    <w:rsid w:val="19A130EC"/>
    <w:rsid w:val="19A33A02"/>
    <w:rsid w:val="19D1732F"/>
    <w:rsid w:val="19DD2371"/>
    <w:rsid w:val="19F92180"/>
    <w:rsid w:val="19FC20BD"/>
    <w:rsid w:val="1A001213"/>
    <w:rsid w:val="1A0D4248"/>
    <w:rsid w:val="1A1E54A4"/>
    <w:rsid w:val="1A200A74"/>
    <w:rsid w:val="1A2619C2"/>
    <w:rsid w:val="1A2F2398"/>
    <w:rsid w:val="1A3055B8"/>
    <w:rsid w:val="1A386823"/>
    <w:rsid w:val="1A3E0E11"/>
    <w:rsid w:val="1A40368E"/>
    <w:rsid w:val="1A4D6078"/>
    <w:rsid w:val="1A5655AF"/>
    <w:rsid w:val="1A6B5CD7"/>
    <w:rsid w:val="1A71633B"/>
    <w:rsid w:val="1A996B47"/>
    <w:rsid w:val="1A9B675D"/>
    <w:rsid w:val="1AD153DF"/>
    <w:rsid w:val="1AD36372"/>
    <w:rsid w:val="1ADE3E70"/>
    <w:rsid w:val="1AE032B7"/>
    <w:rsid w:val="1AE42348"/>
    <w:rsid w:val="1AE5004C"/>
    <w:rsid w:val="1AF2383D"/>
    <w:rsid w:val="1B012875"/>
    <w:rsid w:val="1B157C1A"/>
    <w:rsid w:val="1B183B3A"/>
    <w:rsid w:val="1B1A6E4B"/>
    <w:rsid w:val="1B211C8A"/>
    <w:rsid w:val="1B254C61"/>
    <w:rsid w:val="1B325062"/>
    <w:rsid w:val="1B3A7C27"/>
    <w:rsid w:val="1B572C7F"/>
    <w:rsid w:val="1B5734B2"/>
    <w:rsid w:val="1B741EAE"/>
    <w:rsid w:val="1B783133"/>
    <w:rsid w:val="1B8D44DD"/>
    <w:rsid w:val="1B99173F"/>
    <w:rsid w:val="1B9E5782"/>
    <w:rsid w:val="1B9F2F5B"/>
    <w:rsid w:val="1BA31D38"/>
    <w:rsid w:val="1BB15A38"/>
    <w:rsid w:val="1BB32D92"/>
    <w:rsid w:val="1BCA4E13"/>
    <w:rsid w:val="1BD93E58"/>
    <w:rsid w:val="1BE75134"/>
    <w:rsid w:val="1BEB39AC"/>
    <w:rsid w:val="1BF34884"/>
    <w:rsid w:val="1BFA4465"/>
    <w:rsid w:val="1C075885"/>
    <w:rsid w:val="1C3C5A93"/>
    <w:rsid w:val="1C3D2E04"/>
    <w:rsid w:val="1C3D5C01"/>
    <w:rsid w:val="1C4852DE"/>
    <w:rsid w:val="1C4D45E0"/>
    <w:rsid w:val="1C7D3593"/>
    <w:rsid w:val="1CB23426"/>
    <w:rsid w:val="1CB701AA"/>
    <w:rsid w:val="1CC5776E"/>
    <w:rsid w:val="1CCA0F66"/>
    <w:rsid w:val="1CDE446D"/>
    <w:rsid w:val="1CE118CB"/>
    <w:rsid w:val="1CE20210"/>
    <w:rsid w:val="1CE55FB2"/>
    <w:rsid w:val="1CFA0A2E"/>
    <w:rsid w:val="1D234999"/>
    <w:rsid w:val="1D26771C"/>
    <w:rsid w:val="1D464FEE"/>
    <w:rsid w:val="1D477099"/>
    <w:rsid w:val="1D5D7C71"/>
    <w:rsid w:val="1D5E15AD"/>
    <w:rsid w:val="1D644902"/>
    <w:rsid w:val="1D6B1D16"/>
    <w:rsid w:val="1D872494"/>
    <w:rsid w:val="1D8C2BA2"/>
    <w:rsid w:val="1D8F6B81"/>
    <w:rsid w:val="1D905228"/>
    <w:rsid w:val="1D9776E5"/>
    <w:rsid w:val="1D9E7BBD"/>
    <w:rsid w:val="1DAB0536"/>
    <w:rsid w:val="1DBC1C44"/>
    <w:rsid w:val="1DCC2895"/>
    <w:rsid w:val="1DF24DA6"/>
    <w:rsid w:val="1DF43659"/>
    <w:rsid w:val="1DF92FDF"/>
    <w:rsid w:val="1DFC21EE"/>
    <w:rsid w:val="1E0E4DD7"/>
    <w:rsid w:val="1E202860"/>
    <w:rsid w:val="1E233C48"/>
    <w:rsid w:val="1E2B6C3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26C3F"/>
    <w:rsid w:val="1EF65422"/>
    <w:rsid w:val="1EF80396"/>
    <w:rsid w:val="1F032AB6"/>
    <w:rsid w:val="1F05408A"/>
    <w:rsid w:val="1F0B50AC"/>
    <w:rsid w:val="1F1C29EF"/>
    <w:rsid w:val="1F234826"/>
    <w:rsid w:val="1F31645A"/>
    <w:rsid w:val="1F4773C4"/>
    <w:rsid w:val="1F517BAC"/>
    <w:rsid w:val="1F5E0D38"/>
    <w:rsid w:val="1F5F4414"/>
    <w:rsid w:val="1F637F58"/>
    <w:rsid w:val="1F7E011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4232C"/>
    <w:rsid w:val="20374786"/>
    <w:rsid w:val="2039386F"/>
    <w:rsid w:val="20436342"/>
    <w:rsid w:val="20601C10"/>
    <w:rsid w:val="20641317"/>
    <w:rsid w:val="2068761A"/>
    <w:rsid w:val="206F0CEA"/>
    <w:rsid w:val="20757C7B"/>
    <w:rsid w:val="207E7F7C"/>
    <w:rsid w:val="20A13861"/>
    <w:rsid w:val="20BB04BA"/>
    <w:rsid w:val="20BB0C31"/>
    <w:rsid w:val="20C66D8E"/>
    <w:rsid w:val="20CF37FC"/>
    <w:rsid w:val="20D717F3"/>
    <w:rsid w:val="20E02D05"/>
    <w:rsid w:val="20F01565"/>
    <w:rsid w:val="20F12135"/>
    <w:rsid w:val="20F90AAC"/>
    <w:rsid w:val="20FA405B"/>
    <w:rsid w:val="211A2BD8"/>
    <w:rsid w:val="211A7717"/>
    <w:rsid w:val="212B616E"/>
    <w:rsid w:val="213121BA"/>
    <w:rsid w:val="214A2960"/>
    <w:rsid w:val="214E6349"/>
    <w:rsid w:val="215302B9"/>
    <w:rsid w:val="21533E40"/>
    <w:rsid w:val="215670DE"/>
    <w:rsid w:val="215C7156"/>
    <w:rsid w:val="2183462B"/>
    <w:rsid w:val="218E4A09"/>
    <w:rsid w:val="218E6399"/>
    <w:rsid w:val="219C6DDD"/>
    <w:rsid w:val="21AD7A16"/>
    <w:rsid w:val="21C12ACE"/>
    <w:rsid w:val="21DD5A0D"/>
    <w:rsid w:val="21DF3292"/>
    <w:rsid w:val="21DF71DE"/>
    <w:rsid w:val="22111157"/>
    <w:rsid w:val="2229623B"/>
    <w:rsid w:val="22343FAB"/>
    <w:rsid w:val="22354325"/>
    <w:rsid w:val="22477192"/>
    <w:rsid w:val="224C2951"/>
    <w:rsid w:val="227A54E3"/>
    <w:rsid w:val="22865CFC"/>
    <w:rsid w:val="229B5EE3"/>
    <w:rsid w:val="22AA29BE"/>
    <w:rsid w:val="22BD3256"/>
    <w:rsid w:val="22BD4E7D"/>
    <w:rsid w:val="22D07449"/>
    <w:rsid w:val="22E40F3D"/>
    <w:rsid w:val="230B248C"/>
    <w:rsid w:val="2316789D"/>
    <w:rsid w:val="231847B8"/>
    <w:rsid w:val="231E3ED2"/>
    <w:rsid w:val="23304ABE"/>
    <w:rsid w:val="233803F3"/>
    <w:rsid w:val="234421C7"/>
    <w:rsid w:val="234D61BE"/>
    <w:rsid w:val="23537C14"/>
    <w:rsid w:val="2362645B"/>
    <w:rsid w:val="23700EEA"/>
    <w:rsid w:val="238C42D2"/>
    <w:rsid w:val="2393048F"/>
    <w:rsid w:val="239E3C8F"/>
    <w:rsid w:val="23A06B4E"/>
    <w:rsid w:val="23A40CCF"/>
    <w:rsid w:val="23A632E2"/>
    <w:rsid w:val="23B55580"/>
    <w:rsid w:val="23CA2219"/>
    <w:rsid w:val="23E30C21"/>
    <w:rsid w:val="23EA0F08"/>
    <w:rsid w:val="23F37057"/>
    <w:rsid w:val="23F61F1B"/>
    <w:rsid w:val="23FA1D01"/>
    <w:rsid w:val="2404601A"/>
    <w:rsid w:val="24342CF8"/>
    <w:rsid w:val="24351B4F"/>
    <w:rsid w:val="243647BB"/>
    <w:rsid w:val="243844C1"/>
    <w:rsid w:val="24501237"/>
    <w:rsid w:val="24576A62"/>
    <w:rsid w:val="245E385D"/>
    <w:rsid w:val="246E76BE"/>
    <w:rsid w:val="24713DAC"/>
    <w:rsid w:val="24762507"/>
    <w:rsid w:val="248219BA"/>
    <w:rsid w:val="24863B93"/>
    <w:rsid w:val="24975612"/>
    <w:rsid w:val="249A15C5"/>
    <w:rsid w:val="249E3719"/>
    <w:rsid w:val="24A2659E"/>
    <w:rsid w:val="24B346B5"/>
    <w:rsid w:val="24B606B7"/>
    <w:rsid w:val="24D62066"/>
    <w:rsid w:val="24D92A69"/>
    <w:rsid w:val="24D96DB8"/>
    <w:rsid w:val="24EC3BCA"/>
    <w:rsid w:val="24EC4ADF"/>
    <w:rsid w:val="24EF6448"/>
    <w:rsid w:val="24F71B8F"/>
    <w:rsid w:val="24F92CDE"/>
    <w:rsid w:val="250C0B5D"/>
    <w:rsid w:val="25130959"/>
    <w:rsid w:val="25147C7F"/>
    <w:rsid w:val="25335BFF"/>
    <w:rsid w:val="25353A77"/>
    <w:rsid w:val="253D4E51"/>
    <w:rsid w:val="25462DA6"/>
    <w:rsid w:val="255A5821"/>
    <w:rsid w:val="25893EFE"/>
    <w:rsid w:val="25AF6B5D"/>
    <w:rsid w:val="25B35E6A"/>
    <w:rsid w:val="25BB0481"/>
    <w:rsid w:val="25BE6749"/>
    <w:rsid w:val="25DE0185"/>
    <w:rsid w:val="25E04003"/>
    <w:rsid w:val="25EB6DBF"/>
    <w:rsid w:val="25EE6875"/>
    <w:rsid w:val="26056FD7"/>
    <w:rsid w:val="260C334C"/>
    <w:rsid w:val="26164A17"/>
    <w:rsid w:val="262424C8"/>
    <w:rsid w:val="26276BC7"/>
    <w:rsid w:val="262A76BD"/>
    <w:rsid w:val="2632247E"/>
    <w:rsid w:val="26412189"/>
    <w:rsid w:val="264938E7"/>
    <w:rsid w:val="26517452"/>
    <w:rsid w:val="2654361D"/>
    <w:rsid w:val="26566E1C"/>
    <w:rsid w:val="2679079E"/>
    <w:rsid w:val="267E4719"/>
    <w:rsid w:val="26805F58"/>
    <w:rsid w:val="268120E0"/>
    <w:rsid w:val="26842C6D"/>
    <w:rsid w:val="268B4EFD"/>
    <w:rsid w:val="26A10A64"/>
    <w:rsid w:val="26A24282"/>
    <w:rsid w:val="26BB6790"/>
    <w:rsid w:val="26BF248E"/>
    <w:rsid w:val="26C84C3F"/>
    <w:rsid w:val="26CA39FA"/>
    <w:rsid w:val="26D85E33"/>
    <w:rsid w:val="26DB2072"/>
    <w:rsid w:val="270B4A30"/>
    <w:rsid w:val="270F1235"/>
    <w:rsid w:val="27100109"/>
    <w:rsid w:val="27154206"/>
    <w:rsid w:val="271D238B"/>
    <w:rsid w:val="272A62FD"/>
    <w:rsid w:val="273460AC"/>
    <w:rsid w:val="2737495D"/>
    <w:rsid w:val="273B5491"/>
    <w:rsid w:val="274E64D1"/>
    <w:rsid w:val="27756951"/>
    <w:rsid w:val="27862FAB"/>
    <w:rsid w:val="278F67DD"/>
    <w:rsid w:val="27971B91"/>
    <w:rsid w:val="279B5086"/>
    <w:rsid w:val="27B778B7"/>
    <w:rsid w:val="27BF0D59"/>
    <w:rsid w:val="27CB500C"/>
    <w:rsid w:val="27CE4805"/>
    <w:rsid w:val="27DC01C9"/>
    <w:rsid w:val="27E53287"/>
    <w:rsid w:val="27E8590F"/>
    <w:rsid w:val="27EA6D62"/>
    <w:rsid w:val="2805186B"/>
    <w:rsid w:val="28151DED"/>
    <w:rsid w:val="28183158"/>
    <w:rsid w:val="28263727"/>
    <w:rsid w:val="28300784"/>
    <w:rsid w:val="28316877"/>
    <w:rsid w:val="283F2A39"/>
    <w:rsid w:val="284630EA"/>
    <w:rsid w:val="284A61FC"/>
    <w:rsid w:val="28630E79"/>
    <w:rsid w:val="28660101"/>
    <w:rsid w:val="286E6DB7"/>
    <w:rsid w:val="287163DD"/>
    <w:rsid w:val="28825C63"/>
    <w:rsid w:val="289E6725"/>
    <w:rsid w:val="28BC39FA"/>
    <w:rsid w:val="28C0611A"/>
    <w:rsid w:val="28D730BC"/>
    <w:rsid w:val="28E2641E"/>
    <w:rsid w:val="29027AB4"/>
    <w:rsid w:val="29057EC1"/>
    <w:rsid w:val="2909004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DE094A"/>
    <w:rsid w:val="29E6212C"/>
    <w:rsid w:val="29EC161D"/>
    <w:rsid w:val="29F04EAF"/>
    <w:rsid w:val="29F116D0"/>
    <w:rsid w:val="2A0241CA"/>
    <w:rsid w:val="2A056361"/>
    <w:rsid w:val="2A0777DB"/>
    <w:rsid w:val="2A1074D9"/>
    <w:rsid w:val="2A136762"/>
    <w:rsid w:val="2A1E7E82"/>
    <w:rsid w:val="2A4A1B6B"/>
    <w:rsid w:val="2A7D5C08"/>
    <w:rsid w:val="2A832C81"/>
    <w:rsid w:val="2A8C2DAF"/>
    <w:rsid w:val="2A90033E"/>
    <w:rsid w:val="2A931D53"/>
    <w:rsid w:val="2AA47786"/>
    <w:rsid w:val="2AAA19F3"/>
    <w:rsid w:val="2AAD65EE"/>
    <w:rsid w:val="2AB23403"/>
    <w:rsid w:val="2AC02991"/>
    <w:rsid w:val="2AC37547"/>
    <w:rsid w:val="2AC77380"/>
    <w:rsid w:val="2ADD6AFD"/>
    <w:rsid w:val="2ADE6550"/>
    <w:rsid w:val="2AE0413B"/>
    <w:rsid w:val="2AEA0CBC"/>
    <w:rsid w:val="2AF601F7"/>
    <w:rsid w:val="2AFE0D9C"/>
    <w:rsid w:val="2B0F0D00"/>
    <w:rsid w:val="2B2E0309"/>
    <w:rsid w:val="2B387EE4"/>
    <w:rsid w:val="2B422946"/>
    <w:rsid w:val="2B540B17"/>
    <w:rsid w:val="2B5B34DC"/>
    <w:rsid w:val="2B6D12EE"/>
    <w:rsid w:val="2B724E90"/>
    <w:rsid w:val="2B76579E"/>
    <w:rsid w:val="2B7973CB"/>
    <w:rsid w:val="2B831E93"/>
    <w:rsid w:val="2B885C3B"/>
    <w:rsid w:val="2B964DED"/>
    <w:rsid w:val="2B9B3546"/>
    <w:rsid w:val="2B9E31B9"/>
    <w:rsid w:val="2BA57D96"/>
    <w:rsid w:val="2BAE29A1"/>
    <w:rsid w:val="2BBE438D"/>
    <w:rsid w:val="2BD315B0"/>
    <w:rsid w:val="2BE373EE"/>
    <w:rsid w:val="2BFC3156"/>
    <w:rsid w:val="2C071F11"/>
    <w:rsid w:val="2C0A73E9"/>
    <w:rsid w:val="2C295EB9"/>
    <w:rsid w:val="2C35729B"/>
    <w:rsid w:val="2C4628DA"/>
    <w:rsid w:val="2C575DDE"/>
    <w:rsid w:val="2C622710"/>
    <w:rsid w:val="2C734CA0"/>
    <w:rsid w:val="2C7A1A31"/>
    <w:rsid w:val="2C7C7D79"/>
    <w:rsid w:val="2C83115A"/>
    <w:rsid w:val="2C832F8E"/>
    <w:rsid w:val="2C8B517A"/>
    <w:rsid w:val="2C9466E2"/>
    <w:rsid w:val="2C9E7CD8"/>
    <w:rsid w:val="2CAF6B04"/>
    <w:rsid w:val="2CB0279E"/>
    <w:rsid w:val="2CC32A80"/>
    <w:rsid w:val="2CD12AE5"/>
    <w:rsid w:val="2D131651"/>
    <w:rsid w:val="2D1352C4"/>
    <w:rsid w:val="2D310CA2"/>
    <w:rsid w:val="2D3A323B"/>
    <w:rsid w:val="2D4B55E5"/>
    <w:rsid w:val="2D4C0E6E"/>
    <w:rsid w:val="2D53589F"/>
    <w:rsid w:val="2D5B6D58"/>
    <w:rsid w:val="2D64182E"/>
    <w:rsid w:val="2D7646A7"/>
    <w:rsid w:val="2D8B26BE"/>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D2BF2"/>
    <w:rsid w:val="2E2336D4"/>
    <w:rsid w:val="2E3B2A47"/>
    <w:rsid w:val="2E4113AE"/>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EFA2958"/>
    <w:rsid w:val="2F0236C3"/>
    <w:rsid w:val="2F082BB8"/>
    <w:rsid w:val="2F0A286A"/>
    <w:rsid w:val="2F0F048D"/>
    <w:rsid w:val="2F140F9B"/>
    <w:rsid w:val="2F2B5ABF"/>
    <w:rsid w:val="2F2E604D"/>
    <w:rsid w:val="2F331E7B"/>
    <w:rsid w:val="2F357037"/>
    <w:rsid w:val="2F417886"/>
    <w:rsid w:val="2F5D2DA3"/>
    <w:rsid w:val="2F6F4254"/>
    <w:rsid w:val="2F882E85"/>
    <w:rsid w:val="2F917FB1"/>
    <w:rsid w:val="2F921DDB"/>
    <w:rsid w:val="2F9A7F4A"/>
    <w:rsid w:val="2FBB3B2F"/>
    <w:rsid w:val="2FC733B8"/>
    <w:rsid w:val="2FC82F3C"/>
    <w:rsid w:val="2FCA4F20"/>
    <w:rsid w:val="2FDB269A"/>
    <w:rsid w:val="2FF73630"/>
    <w:rsid w:val="300C4C70"/>
    <w:rsid w:val="303371BB"/>
    <w:rsid w:val="303942F5"/>
    <w:rsid w:val="3044399D"/>
    <w:rsid w:val="30452B41"/>
    <w:rsid w:val="30487E8C"/>
    <w:rsid w:val="304A0AFF"/>
    <w:rsid w:val="305868C6"/>
    <w:rsid w:val="305B1097"/>
    <w:rsid w:val="306445C1"/>
    <w:rsid w:val="306F3DBA"/>
    <w:rsid w:val="30746407"/>
    <w:rsid w:val="307F14D6"/>
    <w:rsid w:val="308640A9"/>
    <w:rsid w:val="30896C6B"/>
    <w:rsid w:val="30CD39DD"/>
    <w:rsid w:val="30D0377D"/>
    <w:rsid w:val="30D1717F"/>
    <w:rsid w:val="30D2261F"/>
    <w:rsid w:val="30DE0226"/>
    <w:rsid w:val="30F50A2A"/>
    <w:rsid w:val="31007D5E"/>
    <w:rsid w:val="310427FF"/>
    <w:rsid w:val="31115223"/>
    <w:rsid w:val="31263645"/>
    <w:rsid w:val="312F0667"/>
    <w:rsid w:val="31442CD4"/>
    <w:rsid w:val="31445B9B"/>
    <w:rsid w:val="316B13D5"/>
    <w:rsid w:val="31720F1D"/>
    <w:rsid w:val="31745B98"/>
    <w:rsid w:val="317A7F18"/>
    <w:rsid w:val="317E525C"/>
    <w:rsid w:val="31837E97"/>
    <w:rsid w:val="318F5716"/>
    <w:rsid w:val="319951C3"/>
    <w:rsid w:val="31A020C6"/>
    <w:rsid w:val="31B347D1"/>
    <w:rsid w:val="31BF03E5"/>
    <w:rsid w:val="31CB03B0"/>
    <w:rsid w:val="31E65427"/>
    <w:rsid w:val="31F33BFC"/>
    <w:rsid w:val="31F43BF9"/>
    <w:rsid w:val="31F55B16"/>
    <w:rsid w:val="31F96A5C"/>
    <w:rsid w:val="31FB63BA"/>
    <w:rsid w:val="31FE3F69"/>
    <w:rsid w:val="32006ED8"/>
    <w:rsid w:val="32057053"/>
    <w:rsid w:val="320733C3"/>
    <w:rsid w:val="320F42AD"/>
    <w:rsid w:val="321C18F4"/>
    <w:rsid w:val="321C2B52"/>
    <w:rsid w:val="321F61EC"/>
    <w:rsid w:val="323036BA"/>
    <w:rsid w:val="323E46BF"/>
    <w:rsid w:val="324F04DB"/>
    <w:rsid w:val="32503DFA"/>
    <w:rsid w:val="32572DA7"/>
    <w:rsid w:val="32702FC0"/>
    <w:rsid w:val="327144B7"/>
    <w:rsid w:val="3290548D"/>
    <w:rsid w:val="329119F4"/>
    <w:rsid w:val="329C07B7"/>
    <w:rsid w:val="32C04B04"/>
    <w:rsid w:val="32C817B6"/>
    <w:rsid w:val="32CA65F9"/>
    <w:rsid w:val="32D942C8"/>
    <w:rsid w:val="33054854"/>
    <w:rsid w:val="33064DC6"/>
    <w:rsid w:val="330A16FB"/>
    <w:rsid w:val="33141FF7"/>
    <w:rsid w:val="33165B4A"/>
    <w:rsid w:val="331B0364"/>
    <w:rsid w:val="33365EEB"/>
    <w:rsid w:val="333A5E1B"/>
    <w:rsid w:val="333B776E"/>
    <w:rsid w:val="333E0092"/>
    <w:rsid w:val="33482976"/>
    <w:rsid w:val="33506C9F"/>
    <w:rsid w:val="33775E05"/>
    <w:rsid w:val="338574F9"/>
    <w:rsid w:val="33A078AB"/>
    <w:rsid w:val="33A222F8"/>
    <w:rsid w:val="33A3217F"/>
    <w:rsid w:val="33B145B5"/>
    <w:rsid w:val="33B35166"/>
    <w:rsid w:val="33B85C62"/>
    <w:rsid w:val="33B90357"/>
    <w:rsid w:val="33C3614F"/>
    <w:rsid w:val="33C46834"/>
    <w:rsid w:val="33D62B96"/>
    <w:rsid w:val="33E32DB1"/>
    <w:rsid w:val="33FF7460"/>
    <w:rsid w:val="344127C5"/>
    <w:rsid w:val="34526E6E"/>
    <w:rsid w:val="345B1895"/>
    <w:rsid w:val="3463085A"/>
    <w:rsid w:val="3485590E"/>
    <w:rsid w:val="34946C2E"/>
    <w:rsid w:val="34A24AD6"/>
    <w:rsid w:val="34BD76C2"/>
    <w:rsid w:val="34C04708"/>
    <w:rsid w:val="34C927D6"/>
    <w:rsid w:val="34C967AE"/>
    <w:rsid w:val="34CE7D64"/>
    <w:rsid w:val="34D46D17"/>
    <w:rsid w:val="34E05201"/>
    <w:rsid w:val="34FB2B80"/>
    <w:rsid w:val="34FD5844"/>
    <w:rsid w:val="35280DED"/>
    <w:rsid w:val="35463167"/>
    <w:rsid w:val="35467638"/>
    <w:rsid w:val="35606860"/>
    <w:rsid w:val="35616A4B"/>
    <w:rsid w:val="35665ADB"/>
    <w:rsid w:val="35816EB9"/>
    <w:rsid w:val="35821E3D"/>
    <w:rsid w:val="35856CEB"/>
    <w:rsid w:val="359818DE"/>
    <w:rsid w:val="359E4142"/>
    <w:rsid w:val="359F5261"/>
    <w:rsid w:val="35B35F81"/>
    <w:rsid w:val="35B847E2"/>
    <w:rsid w:val="35C16CAB"/>
    <w:rsid w:val="35C2434B"/>
    <w:rsid w:val="35F421D8"/>
    <w:rsid w:val="35FE7215"/>
    <w:rsid w:val="35FF2DF2"/>
    <w:rsid w:val="36000F59"/>
    <w:rsid w:val="3600703E"/>
    <w:rsid w:val="360A456E"/>
    <w:rsid w:val="360B232F"/>
    <w:rsid w:val="360C52DD"/>
    <w:rsid w:val="361D59BA"/>
    <w:rsid w:val="36247CCA"/>
    <w:rsid w:val="36280FB0"/>
    <w:rsid w:val="36400759"/>
    <w:rsid w:val="364225B8"/>
    <w:rsid w:val="364B4F18"/>
    <w:rsid w:val="36544E83"/>
    <w:rsid w:val="36601F32"/>
    <w:rsid w:val="367B06EC"/>
    <w:rsid w:val="368400A0"/>
    <w:rsid w:val="368B76C7"/>
    <w:rsid w:val="368C261C"/>
    <w:rsid w:val="36A57135"/>
    <w:rsid w:val="36A775C4"/>
    <w:rsid w:val="36AF0D32"/>
    <w:rsid w:val="36C5766F"/>
    <w:rsid w:val="36CA68EB"/>
    <w:rsid w:val="36D43D6E"/>
    <w:rsid w:val="36D704F3"/>
    <w:rsid w:val="36E90250"/>
    <w:rsid w:val="36ED465C"/>
    <w:rsid w:val="36F13515"/>
    <w:rsid w:val="36FE7168"/>
    <w:rsid w:val="370058B6"/>
    <w:rsid w:val="37066B46"/>
    <w:rsid w:val="37131885"/>
    <w:rsid w:val="372E53E1"/>
    <w:rsid w:val="3740441E"/>
    <w:rsid w:val="37556EFB"/>
    <w:rsid w:val="37622FA9"/>
    <w:rsid w:val="37634C0D"/>
    <w:rsid w:val="37635AA2"/>
    <w:rsid w:val="376D038A"/>
    <w:rsid w:val="37810B2F"/>
    <w:rsid w:val="378D4EC4"/>
    <w:rsid w:val="379127D4"/>
    <w:rsid w:val="3794359E"/>
    <w:rsid w:val="37AC0B1A"/>
    <w:rsid w:val="37B01FC8"/>
    <w:rsid w:val="37BE275C"/>
    <w:rsid w:val="37F7211A"/>
    <w:rsid w:val="37FD2BB1"/>
    <w:rsid w:val="37FE1821"/>
    <w:rsid w:val="38115BCA"/>
    <w:rsid w:val="38156EA3"/>
    <w:rsid w:val="381D63E4"/>
    <w:rsid w:val="383C048E"/>
    <w:rsid w:val="38454C9B"/>
    <w:rsid w:val="385A5B31"/>
    <w:rsid w:val="388116C0"/>
    <w:rsid w:val="388C714F"/>
    <w:rsid w:val="38946C1E"/>
    <w:rsid w:val="38966DB9"/>
    <w:rsid w:val="38A12A60"/>
    <w:rsid w:val="38B20894"/>
    <w:rsid w:val="38BC19FC"/>
    <w:rsid w:val="38C2768F"/>
    <w:rsid w:val="38E37461"/>
    <w:rsid w:val="38F418EC"/>
    <w:rsid w:val="39105A0A"/>
    <w:rsid w:val="39156FCF"/>
    <w:rsid w:val="391B76F1"/>
    <w:rsid w:val="391E2CD2"/>
    <w:rsid w:val="392245B5"/>
    <w:rsid w:val="39235BBC"/>
    <w:rsid w:val="393D721A"/>
    <w:rsid w:val="393F0F59"/>
    <w:rsid w:val="39406F18"/>
    <w:rsid w:val="394A6B61"/>
    <w:rsid w:val="394F360B"/>
    <w:rsid w:val="395E4322"/>
    <w:rsid w:val="397A53A5"/>
    <w:rsid w:val="39825EF1"/>
    <w:rsid w:val="398636A1"/>
    <w:rsid w:val="39897949"/>
    <w:rsid w:val="398D1EFD"/>
    <w:rsid w:val="398D7945"/>
    <w:rsid w:val="399D7118"/>
    <w:rsid w:val="39A7699D"/>
    <w:rsid w:val="39A82A1E"/>
    <w:rsid w:val="39AC32EF"/>
    <w:rsid w:val="39BC5220"/>
    <w:rsid w:val="39BE21D5"/>
    <w:rsid w:val="39D3026D"/>
    <w:rsid w:val="39D879D3"/>
    <w:rsid w:val="39DB3A6E"/>
    <w:rsid w:val="39E245E4"/>
    <w:rsid w:val="39E84CC6"/>
    <w:rsid w:val="39FC179E"/>
    <w:rsid w:val="3A014E17"/>
    <w:rsid w:val="3A066018"/>
    <w:rsid w:val="3A0E206F"/>
    <w:rsid w:val="3A27547C"/>
    <w:rsid w:val="3A2D07FE"/>
    <w:rsid w:val="3A3871E3"/>
    <w:rsid w:val="3A3C3C45"/>
    <w:rsid w:val="3A4F4CF1"/>
    <w:rsid w:val="3A663EB0"/>
    <w:rsid w:val="3A87071A"/>
    <w:rsid w:val="3A876B40"/>
    <w:rsid w:val="3A9B7C92"/>
    <w:rsid w:val="3AAC76F2"/>
    <w:rsid w:val="3AAD5CAC"/>
    <w:rsid w:val="3AAF045C"/>
    <w:rsid w:val="3ACD0975"/>
    <w:rsid w:val="3AD8079E"/>
    <w:rsid w:val="3AF05E33"/>
    <w:rsid w:val="3AF1344F"/>
    <w:rsid w:val="3AF823B2"/>
    <w:rsid w:val="3AFE39BA"/>
    <w:rsid w:val="3B1C5B19"/>
    <w:rsid w:val="3B2301BB"/>
    <w:rsid w:val="3B294F65"/>
    <w:rsid w:val="3B303144"/>
    <w:rsid w:val="3B362C4D"/>
    <w:rsid w:val="3B4D5E29"/>
    <w:rsid w:val="3B5A22B2"/>
    <w:rsid w:val="3B6C6C19"/>
    <w:rsid w:val="3B8631C4"/>
    <w:rsid w:val="3B937719"/>
    <w:rsid w:val="3B942B73"/>
    <w:rsid w:val="3B9674D7"/>
    <w:rsid w:val="3BA20424"/>
    <w:rsid w:val="3BB335AC"/>
    <w:rsid w:val="3BC165FE"/>
    <w:rsid w:val="3BD139B1"/>
    <w:rsid w:val="3BD3067E"/>
    <w:rsid w:val="3BD53AB5"/>
    <w:rsid w:val="3BDF0A62"/>
    <w:rsid w:val="3BEF40B2"/>
    <w:rsid w:val="3BF24254"/>
    <w:rsid w:val="3BF51A54"/>
    <w:rsid w:val="3BFF61D4"/>
    <w:rsid w:val="3C0104C3"/>
    <w:rsid w:val="3C01480C"/>
    <w:rsid w:val="3C054F49"/>
    <w:rsid w:val="3C262C87"/>
    <w:rsid w:val="3C3C39A0"/>
    <w:rsid w:val="3C4D127E"/>
    <w:rsid w:val="3C5A7EF6"/>
    <w:rsid w:val="3C5C6FA7"/>
    <w:rsid w:val="3C804923"/>
    <w:rsid w:val="3C917D55"/>
    <w:rsid w:val="3C9A21AA"/>
    <w:rsid w:val="3C9D3765"/>
    <w:rsid w:val="3C9E0FAA"/>
    <w:rsid w:val="3CA12044"/>
    <w:rsid w:val="3CA30947"/>
    <w:rsid w:val="3CB85542"/>
    <w:rsid w:val="3CBB4F00"/>
    <w:rsid w:val="3CC000F8"/>
    <w:rsid w:val="3CC236C3"/>
    <w:rsid w:val="3CD653C8"/>
    <w:rsid w:val="3CDF3D10"/>
    <w:rsid w:val="3CE54E2F"/>
    <w:rsid w:val="3CEA68F6"/>
    <w:rsid w:val="3CF6002B"/>
    <w:rsid w:val="3D0154CA"/>
    <w:rsid w:val="3D277613"/>
    <w:rsid w:val="3D2A0C21"/>
    <w:rsid w:val="3D2F2FAD"/>
    <w:rsid w:val="3D3C5369"/>
    <w:rsid w:val="3D4E395C"/>
    <w:rsid w:val="3D66205D"/>
    <w:rsid w:val="3D6D5EA9"/>
    <w:rsid w:val="3D7004A1"/>
    <w:rsid w:val="3D7849C8"/>
    <w:rsid w:val="3D78717B"/>
    <w:rsid w:val="3DA54021"/>
    <w:rsid w:val="3DC35193"/>
    <w:rsid w:val="3DC60482"/>
    <w:rsid w:val="3DD171A7"/>
    <w:rsid w:val="3DDC1724"/>
    <w:rsid w:val="3DEC1B94"/>
    <w:rsid w:val="3E127B19"/>
    <w:rsid w:val="3E1C22AD"/>
    <w:rsid w:val="3E2653DC"/>
    <w:rsid w:val="3E2B50D7"/>
    <w:rsid w:val="3E327F30"/>
    <w:rsid w:val="3E4754A6"/>
    <w:rsid w:val="3E671B69"/>
    <w:rsid w:val="3E6926D3"/>
    <w:rsid w:val="3E786B14"/>
    <w:rsid w:val="3E860F10"/>
    <w:rsid w:val="3E913ADC"/>
    <w:rsid w:val="3E922B85"/>
    <w:rsid w:val="3E922D59"/>
    <w:rsid w:val="3E964A00"/>
    <w:rsid w:val="3E9A15EB"/>
    <w:rsid w:val="3EA3700C"/>
    <w:rsid w:val="3EB02205"/>
    <w:rsid w:val="3EB47903"/>
    <w:rsid w:val="3ED219A5"/>
    <w:rsid w:val="3ED7637C"/>
    <w:rsid w:val="3EDA3A1A"/>
    <w:rsid w:val="3EDA7FB0"/>
    <w:rsid w:val="3EDF0CF3"/>
    <w:rsid w:val="3EE8557E"/>
    <w:rsid w:val="3EED740D"/>
    <w:rsid w:val="3F014FF6"/>
    <w:rsid w:val="3F0602AB"/>
    <w:rsid w:val="3F0C10AF"/>
    <w:rsid w:val="3F144C99"/>
    <w:rsid w:val="3F1630F2"/>
    <w:rsid w:val="3F1D0788"/>
    <w:rsid w:val="3F286186"/>
    <w:rsid w:val="3F2C1065"/>
    <w:rsid w:val="3F2F6BD0"/>
    <w:rsid w:val="3F3330FC"/>
    <w:rsid w:val="3F3401DF"/>
    <w:rsid w:val="3F352045"/>
    <w:rsid w:val="3F397D57"/>
    <w:rsid w:val="3F4C52DF"/>
    <w:rsid w:val="3F4E48BC"/>
    <w:rsid w:val="3F4F338A"/>
    <w:rsid w:val="3F4F56AB"/>
    <w:rsid w:val="3F522DFF"/>
    <w:rsid w:val="3F5C510C"/>
    <w:rsid w:val="3F652B34"/>
    <w:rsid w:val="3F9529AF"/>
    <w:rsid w:val="3F9819C8"/>
    <w:rsid w:val="3FA56881"/>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326DFD"/>
    <w:rsid w:val="4141397E"/>
    <w:rsid w:val="41490BDC"/>
    <w:rsid w:val="414B2D54"/>
    <w:rsid w:val="41684E0E"/>
    <w:rsid w:val="416E59E3"/>
    <w:rsid w:val="417C4EC1"/>
    <w:rsid w:val="4184171B"/>
    <w:rsid w:val="41904377"/>
    <w:rsid w:val="419C48E2"/>
    <w:rsid w:val="41A63243"/>
    <w:rsid w:val="41A664B7"/>
    <w:rsid w:val="41B601E7"/>
    <w:rsid w:val="41C65857"/>
    <w:rsid w:val="41CF3C25"/>
    <w:rsid w:val="41DA6CC9"/>
    <w:rsid w:val="41DF5CBF"/>
    <w:rsid w:val="41E83086"/>
    <w:rsid w:val="41EB174A"/>
    <w:rsid w:val="42177507"/>
    <w:rsid w:val="42204CE4"/>
    <w:rsid w:val="42226713"/>
    <w:rsid w:val="42257824"/>
    <w:rsid w:val="422B2BA1"/>
    <w:rsid w:val="4231785A"/>
    <w:rsid w:val="4235332E"/>
    <w:rsid w:val="42584818"/>
    <w:rsid w:val="427E48C1"/>
    <w:rsid w:val="42926048"/>
    <w:rsid w:val="429819E4"/>
    <w:rsid w:val="429B6E22"/>
    <w:rsid w:val="429C6B61"/>
    <w:rsid w:val="42B34A1F"/>
    <w:rsid w:val="42B44273"/>
    <w:rsid w:val="42BF4C55"/>
    <w:rsid w:val="42C845D8"/>
    <w:rsid w:val="42F91034"/>
    <w:rsid w:val="43172FE0"/>
    <w:rsid w:val="432462BD"/>
    <w:rsid w:val="43262E27"/>
    <w:rsid w:val="43266431"/>
    <w:rsid w:val="432904C6"/>
    <w:rsid w:val="434841F7"/>
    <w:rsid w:val="434D6B99"/>
    <w:rsid w:val="43524A05"/>
    <w:rsid w:val="436302DF"/>
    <w:rsid w:val="437F792B"/>
    <w:rsid w:val="43815779"/>
    <w:rsid w:val="43871CB4"/>
    <w:rsid w:val="43905FCA"/>
    <w:rsid w:val="43BE214E"/>
    <w:rsid w:val="43DE7CD6"/>
    <w:rsid w:val="43ED298C"/>
    <w:rsid w:val="43EF2991"/>
    <w:rsid w:val="43F4696E"/>
    <w:rsid w:val="440567AA"/>
    <w:rsid w:val="44073002"/>
    <w:rsid w:val="4414531D"/>
    <w:rsid w:val="442913D2"/>
    <w:rsid w:val="442D4378"/>
    <w:rsid w:val="442E7A0B"/>
    <w:rsid w:val="44597BEE"/>
    <w:rsid w:val="44647DB9"/>
    <w:rsid w:val="447A4753"/>
    <w:rsid w:val="44867EBE"/>
    <w:rsid w:val="44A70E24"/>
    <w:rsid w:val="44A949E8"/>
    <w:rsid w:val="44AD7C87"/>
    <w:rsid w:val="44DD300E"/>
    <w:rsid w:val="44E2656D"/>
    <w:rsid w:val="44F11452"/>
    <w:rsid w:val="44FF451E"/>
    <w:rsid w:val="45177BA4"/>
    <w:rsid w:val="451C551F"/>
    <w:rsid w:val="451F3CCA"/>
    <w:rsid w:val="4533358B"/>
    <w:rsid w:val="45341196"/>
    <w:rsid w:val="45493A4F"/>
    <w:rsid w:val="454E4188"/>
    <w:rsid w:val="4551415D"/>
    <w:rsid w:val="45553167"/>
    <w:rsid w:val="45727755"/>
    <w:rsid w:val="458B417B"/>
    <w:rsid w:val="45965757"/>
    <w:rsid w:val="45A261B2"/>
    <w:rsid w:val="45B17193"/>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6E793A"/>
    <w:rsid w:val="467B3587"/>
    <w:rsid w:val="46844FFB"/>
    <w:rsid w:val="46864313"/>
    <w:rsid w:val="468C1039"/>
    <w:rsid w:val="468C15DE"/>
    <w:rsid w:val="468F344C"/>
    <w:rsid w:val="469E045C"/>
    <w:rsid w:val="46CD5B61"/>
    <w:rsid w:val="46CE17A4"/>
    <w:rsid w:val="46CE1E7F"/>
    <w:rsid w:val="46D81406"/>
    <w:rsid w:val="46DA015F"/>
    <w:rsid w:val="46FE7520"/>
    <w:rsid w:val="47050296"/>
    <w:rsid w:val="470A5361"/>
    <w:rsid w:val="470E0068"/>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262CF"/>
    <w:rsid w:val="47A32AF0"/>
    <w:rsid w:val="47AF032C"/>
    <w:rsid w:val="47B14B32"/>
    <w:rsid w:val="47BA0CEF"/>
    <w:rsid w:val="47E37036"/>
    <w:rsid w:val="47EA4D37"/>
    <w:rsid w:val="47EC146A"/>
    <w:rsid w:val="481D74A2"/>
    <w:rsid w:val="48334280"/>
    <w:rsid w:val="48386782"/>
    <w:rsid w:val="4839372F"/>
    <w:rsid w:val="48406A1E"/>
    <w:rsid w:val="48455013"/>
    <w:rsid w:val="484726A4"/>
    <w:rsid w:val="484B7369"/>
    <w:rsid w:val="4861193F"/>
    <w:rsid w:val="487274B4"/>
    <w:rsid w:val="487F714C"/>
    <w:rsid w:val="48811612"/>
    <w:rsid w:val="488818E0"/>
    <w:rsid w:val="48A65AA9"/>
    <w:rsid w:val="48DE25CF"/>
    <w:rsid w:val="48E06989"/>
    <w:rsid w:val="48E2763C"/>
    <w:rsid w:val="48E41DF5"/>
    <w:rsid w:val="48E92C88"/>
    <w:rsid w:val="48EB1D85"/>
    <w:rsid w:val="492C330A"/>
    <w:rsid w:val="49445DC7"/>
    <w:rsid w:val="494C141C"/>
    <w:rsid w:val="4954359E"/>
    <w:rsid w:val="49821D8D"/>
    <w:rsid w:val="4987544D"/>
    <w:rsid w:val="49AE3D92"/>
    <w:rsid w:val="49BF2772"/>
    <w:rsid w:val="49C15E4E"/>
    <w:rsid w:val="49C47EBE"/>
    <w:rsid w:val="49C55CAD"/>
    <w:rsid w:val="49CA225D"/>
    <w:rsid w:val="49D270B8"/>
    <w:rsid w:val="4A0C2CE1"/>
    <w:rsid w:val="4A1203E3"/>
    <w:rsid w:val="4A157D6D"/>
    <w:rsid w:val="4A3509A5"/>
    <w:rsid w:val="4A3C31F7"/>
    <w:rsid w:val="4A5106C5"/>
    <w:rsid w:val="4A5118EB"/>
    <w:rsid w:val="4A6C1F84"/>
    <w:rsid w:val="4A7F2C4A"/>
    <w:rsid w:val="4A863FBD"/>
    <w:rsid w:val="4A892CB4"/>
    <w:rsid w:val="4AA927DF"/>
    <w:rsid w:val="4AB450E7"/>
    <w:rsid w:val="4ABD2CBE"/>
    <w:rsid w:val="4ACA49FA"/>
    <w:rsid w:val="4ACC15C6"/>
    <w:rsid w:val="4ACC17F6"/>
    <w:rsid w:val="4AE8469B"/>
    <w:rsid w:val="4AED30D2"/>
    <w:rsid w:val="4AF05435"/>
    <w:rsid w:val="4AFE1C1B"/>
    <w:rsid w:val="4B2829D3"/>
    <w:rsid w:val="4B4743F6"/>
    <w:rsid w:val="4B4E2EB5"/>
    <w:rsid w:val="4B503DE9"/>
    <w:rsid w:val="4B592E57"/>
    <w:rsid w:val="4B6B1D17"/>
    <w:rsid w:val="4B731311"/>
    <w:rsid w:val="4B88336D"/>
    <w:rsid w:val="4B9A2375"/>
    <w:rsid w:val="4BAA584D"/>
    <w:rsid w:val="4BAD17E4"/>
    <w:rsid w:val="4BF4090B"/>
    <w:rsid w:val="4C0D0455"/>
    <w:rsid w:val="4C1304BA"/>
    <w:rsid w:val="4C1346B3"/>
    <w:rsid w:val="4C1F5374"/>
    <w:rsid w:val="4C1F7A5B"/>
    <w:rsid w:val="4C4048FC"/>
    <w:rsid w:val="4C7C0DC2"/>
    <w:rsid w:val="4C894A92"/>
    <w:rsid w:val="4C983FA4"/>
    <w:rsid w:val="4C9A5F96"/>
    <w:rsid w:val="4C9B7DE3"/>
    <w:rsid w:val="4C9F7E3C"/>
    <w:rsid w:val="4CA178A3"/>
    <w:rsid w:val="4CA9023C"/>
    <w:rsid w:val="4CB144C1"/>
    <w:rsid w:val="4CB3138C"/>
    <w:rsid w:val="4CBE1543"/>
    <w:rsid w:val="4CBE4760"/>
    <w:rsid w:val="4CCC2062"/>
    <w:rsid w:val="4CD82D5E"/>
    <w:rsid w:val="4CF86DA4"/>
    <w:rsid w:val="4D020DA5"/>
    <w:rsid w:val="4D0B1CBD"/>
    <w:rsid w:val="4D0D52CB"/>
    <w:rsid w:val="4D1B2738"/>
    <w:rsid w:val="4D2B3D3E"/>
    <w:rsid w:val="4D447FC7"/>
    <w:rsid w:val="4D566C49"/>
    <w:rsid w:val="4D6037A5"/>
    <w:rsid w:val="4D743AA4"/>
    <w:rsid w:val="4D756C7A"/>
    <w:rsid w:val="4D834946"/>
    <w:rsid w:val="4D993267"/>
    <w:rsid w:val="4D9B056B"/>
    <w:rsid w:val="4DA1355F"/>
    <w:rsid w:val="4DA32204"/>
    <w:rsid w:val="4DA537BB"/>
    <w:rsid w:val="4DA53A8B"/>
    <w:rsid w:val="4DA62BFC"/>
    <w:rsid w:val="4DA778EC"/>
    <w:rsid w:val="4DB87E55"/>
    <w:rsid w:val="4DBB336E"/>
    <w:rsid w:val="4DBE6815"/>
    <w:rsid w:val="4DC16978"/>
    <w:rsid w:val="4DF67531"/>
    <w:rsid w:val="4DF9062B"/>
    <w:rsid w:val="4DFF21FD"/>
    <w:rsid w:val="4E014EF8"/>
    <w:rsid w:val="4E066E93"/>
    <w:rsid w:val="4E075658"/>
    <w:rsid w:val="4E0D6F7B"/>
    <w:rsid w:val="4E1D7E77"/>
    <w:rsid w:val="4E236A05"/>
    <w:rsid w:val="4E51451A"/>
    <w:rsid w:val="4E7D60BC"/>
    <w:rsid w:val="4E91581D"/>
    <w:rsid w:val="4EAA10E1"/>
    <w:rsid w:val="4EAC649B"/>
    <w:rsid w:val="4EDE397C"/>
    <w:rsid w:val="4EE17F3C"/>
    <w:rsid w:val="4EEB79CE"/>
    <w:rsid w:val="4EF614BA"/>
    <w:rsid w:val="4EF62402"/>
    <w:rsid w:val="4F087D26"/>
    <w:rsid w:val="4F35630A"/>
    <w:rsid w:val="4F362E18"/>
    <w:rsid w:val="4F44280B"/>
    <w:rsid w:val="4F497B36"/>
    <w:rsid w:val="4F515B18"/>
    <w:rsid w:val="4F540B41"/>
    <w:rsid w:val="4F547EAA"/>
    <w:rsid w:val="4F832885"/>
    <w:rsid w:val="4F9039FE"/>
    <w:rsid w:val="4FA24B35"/>
    <w:rsid w:val="4FAA20BA"/>
    <w:rsid w:val="4FB5670E"/>
    <w:rsid w:val="4FBE2BCB"/>
    <w:rsid w:val="4FE02223"/>
    <w:rsid w:val="4FFF4EEC"/>
    <w:rsid w:val="500E6057"/>
    <w:rsid w:val="50283D40"/>
    <w:rsid w:val="50437224"/>
    <w:rsid w:val="50456450"/>
    <w:rsid w:val="50490678"/>
    <w:rsid w:val="505A512C"/>
    <w:rsid w:val="506E4643"/>
    <w:rsid w:val="50842A75"/>
    <w:rsid w:val="5089260D"/>
    <w:rsid w:val="50895295"/>
    <w:rsid w:val="5098572F"/>
    <w:rsid w:val="50B906DF"/>
    <w:rsid w:val="50D974ED"/>
    <w:rsid w:val="50DD515E"/>
    <w:rsid w:val="50F018D3"/>
    <w:rsid w:val="50F47A17"/>
    <w:rsid w:val="51051A7E"/>
    <w:rsid w:val="510C46FF"/>
    <w:rsid w:val="51116C5C"/>
    <w:rsid w:val="51326B0B"/>
    <w:rsid w:val="51336612"/>
    <w:rsid w:val="513D38A6"/>
    <w:rsid w:val="51456AF4"/>
    <w:rsid w:val="515C1DCC"/>
    <w:rsid w:val="51657C34"/>
    <w:rsid w:val="516D5C81"/>
    <w:rsid w:val="51790E28"/>
    <w:rsid w:val="517C7028"/>
    <w:rsid w:val="51892091"/>
    <w:rsid w:val="519634A4"/>
    <w:rsid w:val="519B6609"/>
    <w:rsid w:val="51AB3B5E"/>
    <w:rsid w:val="51B858B2"/>
    <w:rsid w:val="51BE6CEC"/>
    <w:rsid w:val="51C217B7"/>
    <w:rsid w:val="51C26588"/>
    <w:rsid w:val="51D82383"/>
    <w:rsid w:val="51DE4114"/>
    <w:rsid w:val="51E31D3C"/>
    <w:rsid w:val="51E950EA"/>
    <w:rsid w:val="51F45C0D"/>
    <w:rsid w:val="51F45EC8"/>
    <w:rsid w:val="51FE2E2D"/>
    <w:rsid w:val="52074A29"/>
    <w:rsid w:val="520A15B6"/>
    <w:rsid w:val="520F2ED4"/>
    <w:rsid w:val="521402BD"/>
    <w:rsid w:val="522B39FB"/>
    <w:rsid w:val="522E1BF9"/>
    <w:rsid w:val="52391E5F"/>
    <w:rsid w:val="52414E5C"/>
    <w:rsid w:val="52463FBA"/>
    <w:rsid w:val="524A5D65"/>
    <w:rsid w:val="524C1BBF"/>
    <w:rsid w:val="524C5E05"/>
    <w:rsid w:val="524E1B0B"/>
    <w:rsid w:val="525E475A"/>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670639"/>
    <w:rsid w:val="53752CA7"/>
    <w:rsid w:val="53B84C8E"/>
    <w:rsid w:val="53BD274E"/>
    <w:rsid w:val="53E65701"/>
    <w:rsid w:val="53F52A77"/>
    <w:rsid w:val="53FD5774"/>
    <w:rsid w:val="5414272D"/>
    <w:rsid w:val="54170EC7"/>
    <w:rsid w:val="542E6AAF"/>
    <w:rsid w:val="543D68D9"/>
    <w:rsid w:val="543E70CA"/>
    <w:rsid w:val="5446397A"/>
    <w:rsid w:val="54481DAE"/>
    <w:rsid w:val="54482B1B"/>
    <w:rsid w:val="546F7A15"/>
    <w:rsid w:val="54871B54"/>
    <w:rsid w:val="549605A3"/>
    <w:rsid w:val="54977B94"/>
    <w:rsid w:val="549F3EDE"/>
    <w:rsid w:val="54AA3CD9"/>
    <w:rsid w:val="54B40965"/>
    <w:rsid w:val="54B76615"/>
    <w:rsid w:val="54C96C83"/>
    <w:rsid w:val="54D31B63"/>
    <w:rsid w:val="54D750FC"/>
    <w:rsid w:val="54EA3219"/>
    <w:rsid w:val="54F02299"/>
    <w:rsid w:val="550118A5"/>
    <w:rsid w:val="550C5248"/>
    <w:rsid w:val="55196821"/>
    <w:rsid w:val="552A6A60"/>
    <w:rsid w:val="55305106"/>
    <w:rsid w:val="553C54DB"/>
    <w:rsid w:val="554860F4"/>
    <w:rsid w:val="554C1A4B"/>
    <w:rsid w:val="55582F0D"/>
    <w:rsid w:val="557A16A0"/>
    <w:rsid w:val="558B39AE"/>
    <w:rsid w:val="559719B0"/>
    <w:rsid w:val="559A22C4"/>
    <w:rsid w:val="559C2F3F"/>
    <w:rsid w:val="559F228F"/>
    <w:rsid w:val="55A67EE8"/>
    <w:rsid w:val="55B54251"/>
    <w:rsid w:val="55D00DC0"/>
    <w:rsid w:val="55E8090D"/>
    <w:rsid w:val="56060266"/>
    <w:rsid w:val="5610402A"/>
    <w:rsid w:val="56107458"/>
    <w:rsid w:val="561522D0"/>
    <w:rsid w:val="562A1609"/>
    <w:rsid w:val="562E5EB3"/>
    <w:rsid w:val="563F74A4"/>
    <w:rsid w:val="5640604C"/>
    <w:rsid w:val="566B53D2"/>
    <w:rsid w:val="56715C12"/>
    <w:rsid w:val="567B1141"/>
    <w:rsid w:val="567B56A9"/>
    <w:rsid w:val="5681373E"/>
    <w:rsid w:val="56991451"/>
    <w:rsid w:val="569A3398"/>
    <w:rsid w:val="569D6C7E"/>
    <w:rsid w:val="56A66D5B"/>
    <w:rsid w:val="56A7418C"/>
    <w:rsid w:val="56AD7471"/>
    <w:rsid w:val="56DE7A61"/>
    <w:rsid w:val="56EB3361"/>
    <w:rsid w:val="56F40954"/>
    <w:rsid w:val="56F5248E"/>
    <w:rsid w:val="56F72F30"/>
    <w:rsid w:val="570D256E"/>
    <w:rsid w:val="57301450"/>
    <w:rsid w:val="5744335A"/>
    <w:rsid w:val="574D339C"/>
    <w:rsid w:val="5753468B"/>
    <w:rsid w:val="575B3101"/>
    <w:rsid w:val="5760479D"/>
    <w:rsid w:val="576D43D6"/>
    <w:rsid w:val="577912C5"/>
    <w:rsid w:val="5779650A"/>
    <w:rsid w:val="57B11185"/>
    <w:rsid w:val="57BA33E6"/>
    <w:rsid w:val="57C451DA"/>
    <w:rsid w:val="57E12441"/>
    <w:rsid w:val="57E52AC8"/>
    <w:rsid w:val="57F25C54"/>
    <w:rsid w:val="58037259"/>
    <w:rsid w:val="580B1E0B"/>
    <w:rsid w:val="580D0F54"/>
    <w:rsid w:val="58164A86"/>
    <w:rsid w:val="581F2B76"/>
    <w:rsid w:val="58224F50"/>
    <w:rsid w:val="582763E6"/>
    <w:rsid w:val="584410CC"/>
    <w:rsid w:val="585706F4"/>
    <w:rsid w:val="585712B7"/>
    <w:rsid w:val="58603614"/>
    <w:rsid w:val="58615E6E"/>
    <w:rsid w:val="58635793"/>
    <w:rsid w:val="586A36EE"/>
    <w:rsid w:val="58771786"/>
    <w:rsid w:val="588C11D6"/>
    <w:rsid w:val="589D6585"/>
    <w:rsid w:val="58C16B43"/>
    <w:rsid w:val="58D60414"/>
    <w:rsid w:val="58D72576"/>
    <w:rsid w:val="58D820FB"/>
    <w:rsid w:val="58DA0D57"/>
    <w:rsid w:val="58EF47AD"/>
    <w:rsid w:val="59033141"/>
    <w:rsid w:val="59134D6C"/>
    <w:rsid w:val="5929749F"/>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D23CFD"/>
    <w:rsid w:val="59E12D2E"/>
    <w:rsid w:val="59E56E97"/>
    <w:rsid w:val="59EE0B0E"/>
    <w:rsid w:val="59EF52ED"/>
    <w:rsid w:val="59F378E0"/>
    <w:rsid w:val="5A03208B"/>
    <w:rsid w:val="5A1B27B8"/>
    <w:rsid w:val="5A1F5304"/>
    <w:rsid w:val="5A41505E"/>
    <w:rsid w:val="5A60385B"/>
    <w:rsid w:val="5AAC69C2"/>
    <w:rsid w:val="5AC608F3"/>
    <w:rsid w:val="5ACA2411"/>
    <w:rsid w:val="5AE31485"/>
    <w:rsid w:val="5AF626D8"/>
    <w:rsid w:val="5AF62900"/>
    <w:rsid w:val="5AFC40F3"/>
    <w:rsid w:val="5B053218"/>
    <w:rsid w:val="5B0D46E9"/>
    <w:rsid w:val="5B22062D"/>
    <w:rsid w:val="5B241C6D"/>
    <w:rsid w:val="5B2B355B"/>
    <w:rsid w:val="5B2E314C"/>
    <w:rsid w:val="5B3C627F"/>
    <w:rsid w:val="5B3E3090"/>
    <w:rsid w:val="5B413ED9"/>
    <w:rsid w:val="5B736DFC"/>
    <w:rsid w:val="5B74248A"/>
    <w:rsid w:val="5B7902AC"/>
    <w:rsid w:val="5B7C3A7D"/>
    <w:rsid w:val="5B8675CA"/>
    <w:rsid w:val="5BA652CD"/>
    <w:rsid w:val="5BB3538F"/>
    <w:rsid w:val="5BDA1A02"/>
    <w:rsid w:val="5BDA3815"/>
    <w:rsid w:val="5C0A6081"/>
    <w:rsid w:val="5C100E26"/>
    <w:rsid w:val="5C406786"/>
    <w:rsid w:val="5C4A5F00"/>
    <w:rsid w:val="5C4C3CC9"/>
    <w:rsid w:val="5C5C59BB"/>
    <w:rsid w:val="5C6A1E8C"/>
    <w:rsid w:val="5C6F3AA2"/>
    <w:rsid w:val="5C85298F"/>
    <w:rsid w:val="5CD05B1D"/>
    <w:rsid w:val="5CDC5778"/>
    <w:rsid w:val="5CE70DB3"/>
    <w:rsid w:val="5CE7737C"/>
    <w:rsid w:val="5CF20C05"/>
    <w:rsid w:val="5CF21D7F"/>
    <w:rsid w:val="5CF617C9"/>
    <w:rsid w:val="5CFC4770"/>
    <w:rsid w:val="5D015FA3"/>
    <w:rsid w:val="5D047EE8"/>
    <w:rsid w:val="5D110C61"/>
    <w:rsid w:val="5D126228"/>
    <w:rsid w:val="5D1949C1"/>
    <w:rsid w:val="5D1B0F43"/>
    <w:rsid w:val="5D1F3C0E"/>
    <w:rsid w:val="5D3734F1"/>
    <w:rsid w:val="5D3A42DC"/>
    <w:rsid w:val="5D423265"/>
    <w:rsid w:val="5D456BED"/>
    <w:rsid w:val="5D4A0C8B"/>
    <w:rsid w:val="5D646958"/>
    <w:rsid w:val="5D846BFC"/>
    <w:rsid w:val="5D902329"/>
    <w:rsid w:val="5DAD407E"/>
    <w:rsid w:val="5DCD449F"/>
    <w:rsid w:val="5DCE771F"/>
    <w:rsid w:val="5DD3556C"/>
    <w:rsid w:val="5DD81E67"/>
    <w:rsid w:val="5DE143A8"/>
    <w:rsid w:val="5DE6704B"/>
    <w:rsid w:val="5DEC3B70"/>
    <w:rsid w:val="5DF84369"/>
    <w:rsid w:val="5DF92DCB"/>
    <w:rsid w:val="5E091FB5"/>
    <w:rsid w:val="5E177160"/>
    <w:rsid w:val="5E277D80"/>
    <w:rsid w:val="5E280CB5"/>
    <w:rsid w:val="5E2F1ECF"/>
    <w:rsid w:val="5E4130FC"/>
    <w:rsid w:val="5E447267"/>
    <w:rsid w:val="5E4A572D"/>
    <w:rsid w:val="5E526E09"/>
    <w:rsid w:val="5E5667A6"/>
    <w:rsid w:val="5E612BC1"/>
    <w:rsid w:val="5E676802"/>
    <w:rsid w:val="5E6C7C78"/>
    <w:rsid w:val="5E72699B"/>
    <w:rsid w:val="5E794082"/>
    <w:rsid w:val="5E815CED"/>
    <w:rsid w:val="5E887A26"/>
    <w:rsid w:val="5EA35CFD"/>
    <w:rsid w:val="5EAC0CC5"/>
    <w:rsid w:val="5EAF07E9"/>
    <w:rsid w:val="5EB75E1B"/>
    <w:rsid w:val="5EC56393"/>
    <w:rsid w:val="5EF078DD"/>
    <w:rsid w:val="5EF62DCD"/>
    <w:rsid w:val="5EF94248"/>
    <w:rsid w:val="5EFB0071"/>
    <w:rsid w:val="5EFE34A1"/>
    <w:rsid w:val="5F0030F0"/>
    <w:rsid w:val="5F173FD8"/>
    <w:rsid w:val="5F1D15AA"/>
    <w:rsid w:val="5F3262F4"/>
    <w:rsid w:val="5F522607"/>
    <w:rsid w:val="5F5C27E5"/>
    <w:rsid w:val="5F5D133C"/>
    <w:rsid w:val="5F5D6768"/>
    <w:rsid w:val="5F615C5D"/>
    <w:rsid w:val="5F6938A8"/>
    <w:rsid w:val="5F6E2815"/>
    <w:rsid w:val="5F7576D1"/>
    <w:rsid w:val="5F7B3E91"/>
    <w:rsid w:val="5F7C06D8"/>
    <w:rsid w:val="5F9E02EC"/>
    <w:rsid w:val="5FA1081C"/>
    <w:rsid w:val="5FBB5BDB"/>
    <w:rsid w:val="5FD74EFD"/>
    <w:rsid w:val="5FD9462B"/>
    <w:rsid w:val="5FE061B9"/>
    <w:rsid w:val="5FEB5761"/>
    <w:rsid w:val="5FF7578A"/>
    <w:rsid w:val="5FFA64A1"/>
    <w:rsid w:val="5FFB6305"/>
    <w:rsid w:val="5FFB6714"/>
    <w:rsid w:val="60011320"/>
    <w:rsid w:val="601435C0"/>
    <w:rsid w:val="60204FC3"/>
    <w:rsid w:val="60267D5D"/>
    <w:rsid w:val="604100BA"/>
    <w:rsid w:val="604D6935"/>
    <w:rsid w:val="60565AFD"/>
    <w:rsid w:val="6057025C"/>
    <w:rsid w:val="6067295E"/>
    <w:rsid w:val="606F133D"/>
    <w:rsid w:val="607B07D5"/>
    <w:rsid w:val="60916901"/>
    <w:rsid w:val="60993336"/>
    <w:rsid w:val="609949E1"/>
    <w:rsid w:val="609D316A"/>
    <w:rsid w:val="60A27DAC"/>
    <w:rsid w:val="60B91733"/>
    <w:rsid w:val="60C20183"/>
    <w:rsid w:val="60DD5117"/>
    <w:rsid w:val="60E34759"/>
    <w:rsid w:val="61012C1A"/>
    <w:rsid w:val="610B115D"/>
    <w:rsid w:val="61120121"/>
    <w:rsid w:val="611F5E40"/>
    <w:rsid w:val="612650A2"/>
    <w:rsid w:val="61275225"/>
    <w:rsid w:val="614041D7"/>
    <w:rsid w:val="61552A82"/>
    <w:rsid w:val="616C5FAF"/>
    <w:rsid w:val="616C655B"/>
    <w:rsid w:val="616E381D"/>
    <w:rsid w:val="617C6F15"/>
    <w:rsid w:val="61894625"/>
    <w:rsid w:val="61A21ED5"/>
    <w:rsid w:val="61AF7E98"/>
    <w:rsid w:val="61B4007B"/>
    <w:rsid w:val="61BA5EFD"/>
    <w:rsid w:val="61C7660C"/>
    <w:rsid w:val="61CE600C"/>
    <w:rsid w:val="61D272BB"/>
    <w:rsid w:val="61D30186"/>
    <w:rsid w:val="61D81BE2"/>
    <w:rsid w:val="61E93AD6"/>
    <w:rsid w:val="620100B1"/>
    <w:rsid w:val="62190F45"/>
    <w:rsid w:val="62193B80"/>
    <w:rsid w:val="621B4181"/>
    <w:rsid w:val="62216BE1"/>
    <w:rsid w:val="62353B47"/>
    <w:rsid w:val="624076D6"/>
    <w:rsid w:val="62511DE0"/>
    <w:rsid w:val="6274386B"/>
    <w:rsid w:val="628C53F9"/>
    <w:rsid w:val="62937829"/>
    <w:rsid w:val="629C2E62"/>
    <w:rsid w:val="62A20B07"/>
    <w:rsid w:val="62A414E0"/>
    <w:rsid w:val="62BA5904"/>
    <w:rsid w:val="62CC77CB"/>
    <w:rsid w:val="62DD0C45"/>
    <w:rsid w:val="62F3784F"/>
    <w:rsid w:val="62F41404"/>
    <w:rsid w:val="62FF3FB5"/>
    <w:rsid w:val="63021DE2"/>
    <w:rsid w:val="63112339"/>
    <w:rsid w:val="632C21E9"/>
    <w:rsid w:val="632C2662"/>
    <w:rsid w:val="63385D89"/>
    <w:rsid w:val="633A0F04"/>
    <w:rsid w:val="6340127C"/>
    <w:rsid w:val="63402FDE"/>
    <w:rsid w:val="63654FE0"/>
    <w:rsid w:val="63985508"/>
    <w:rsid w:val="639E6CD5"/>
    <w:rsid w:val="63AA5332"/>
    <w:rsid w:val="63B727E9"/>
    <w:rsid w:val="63C61233"/>
    <w:rsid w:val="63CD6E35"/>
    <w:rsid w:val="63D33DB7"/>
    <w:rsid w:val="63FF6AFB"/>
    <w:rsid w:val="640754EE"/>
    <w:rsid w:val="64142736"/>
    <w:rsid w:val="642A2A58"/>
    <w:rsid w:val="64391A57"/>
    <w:rsid w:val="64585109"/>
    <w:rsid w:val="645F7031"/>
    <w:rsid w:val="646947EF"/>
    <w:rsid w:val="64881679"/>
    <w:rsid w:val="649F7EFD"/>
    <w:rsid w:val="64A25354"/>
    <w:rsid w:val="64A67ACD"/>
    <w:rsid w:val="64A84422"/>
    <w:rsid w:val="64B23DB4"/>
    <w:rsid w:val="64B55A95"/>
    <w:rsid w:val="64B64B66"/>
    <w:rsid w:val="64B76FA3"/>
    <w:rsid w:val="64B86E2A"/>
    <w:rsid w:val="64C12A40"/>
    <w:rsid w:val="64C15487"/>
    <w:rsid w:val="64C51685"/>
    <w:rsid w:val="64C82CB3"/>
    <w:rsid w:val="64CF7125"/>
    <w:rsid w:val="64F26CA8"/>
    <w:rsid w:val="65137300"/>
    <w:rsid w:val="65144D92"/>
    <w:rsid w:val="6526740F"/>
    <w:rsid w:val="65367FA9"/>
    <w:rsid w:val="65376110"/>
    <w:rsid w:val="654344CA"/>
    <w:rsid w:val="654A50C1"/>
    <w:rsid w:val="6556674F"/>
    <w:rsid w:val="655F2B6C"/>
    <w:rsid w:val="65862CD9"/>
    <w:rsid w:val="6588686F"/>
    <w:rsid w:val="659E46D8"/>
    <w:rsid w:val="65A57048"/>
    <w:rsid w:val="65B50E5A"/>
    <w:rsid w:val="65C61AA8"/>
    <w:rsid w:val="65D40A3C"/>
    <w:rsid w:val="65D54781"/>
    <w:rsid w:val="65D7500D"/>
    <w:rsid w:val="65E259FF"/>
    <w:rsid w:val="65E64B23"/>
    <w:rsid w:val="660867AF"/>
    <w:rsid w:val="662145D7"/>
    <w:rsid w:val="662D27C6"/>
    <w:rsid w:val="66354BC9"/>
    <w:rsid w:val="66452970"/>
    <w:rsid w:val="66452FE9"/>
    <w:rsid w:val="665000CD"/>
    <w:rsid w:val="66581AC1"/>
    <w:rsid w:val="66771BDE"/>
    <w:rsid w:val="668D7DF1"/>
    <w:rsid w:val="66964197"/>
    <w:rsid w:val="66966F1A"/>
    <w:rsid w:val="66AB7EE5"/>
    <w:rsid w:val="66C73D9C"/>
    <w:rsid w:val="66D04B5E"/>
    <w:rsid w:val="66D60DB1"/>
    <w:rsid w:val="66E561D8"/>
    <w:rsid w:val="66F00AF0"/>
    <w:rsid w:val="6700750E"/>
    <w:rsid w:val="672E0AEA"/>
    <w:rsid w:val="67334FD3"/>
    <w:rsid w:val="673B34D0"/>
    <w:rsid w:val="67580868"/>
    <w:rsid w:val="67610EFA"/>
    <w:rsid w:val="6773071F"/>
    <w:rsid w:val="67897D98"/>
    <w:rsid w:val="678D5B85"/>
    <w:rsid w:val="67904419"/>
    <w:rsid w:val="67995A29"/>
    <w:rsid w:val="67A00193"/>
    <w:rsid w:val="67B563BE"/>
    <w:rsid w:val="67C66A0C"/>
    <w:rsid w:val="67DC482A"/>
    <w:rsid w:val="67E55620"/>
    <w:rsid w:val="67EA5494"/>
    <w:rsid w:val="67EB5FE1"/>
    <w:rsid w:val="67ED1ADF"/>
    <w:rsid w:val="67FC2BE7"/>
    <w:rsid w:val="68047F5F"/>
    <w:rsid w:val="68091997"/>
    <w:rsid w:val="680D19BB"/>
    <w:rsid w:val="6815717B"/>
    <w:rsid w:val="681A46E7"/>
    <w:rsid w:val="681B7F08"/>
    <w:rsid w:val="68221A8C"/>
    <w:rsid w:val="682E7973"/>
    <w:rsid w:val="68347A35"/>
    <w:rsid w:val="6838498F"/>
    <w:rsid w:val="684D6D87"/>
    <w:rsid w:val="684F6446"/>
    <w:rsid w:val="685036D0"/>
    <w:rsid w:val="68525B9B"/>
    <w:rsid w:val="686E7CEF"/>
    <w:rsid w:val="688432AD"/>
    <w:rsid w:val="6886446B"/>
    <w:rsid w:val="6886482A"/>
    <w:rsid w:val="688E57BC"/>
    <w:rsid w:val="68904BFB"/>
    <w:rsid w:val="68A0499E"/>
    <w:rsid w:val="68A36E99"/>
    <w:rsid w:val="68AE3670"/>
    <w:rsid w:val="68C332BA"/>
    <w:rsid w:val="68C708F2"/>
    <w:rsid w:val="68D56251"/>
    <w:rsid w:val="68E250AD"/>
    <w:rsid w:val="68EF5946"/>
    <w:rsid w:val="68F25DFA"/>
    <w:rsid w:val="68FF6567"/>
    <w:rsid w:val="690C6B70"/>
    <w:rsid w:val="693118AD"/>
    <w:rsid w:val="693769C6"/>
    <w:rsid w:val="69603C4B"/>
    <w:rsid w:val="69614422"/>
    <w:rsid w:val="69683F1C"/>
    <w:rsid w:val="69734633"/>
    <w:rsid w:val="6986197E"/>
    <w:rsid w:val="698F2915"/>
    <w:rsid w:val="69930206"/>
    <w:rsid w:val="69930E11"/>
    <w:rsid w:val="69993840"/>
    <w:rsid w:val="699C0EF8"/>
    <w:rsid w:val="69A02C2A"/>
    <w:rsid w:val="69A13EEE"/>
    <w:rsid w:val="69A23095"/>
    <w:rsid w:val="69AB5DBB"/>
    <w:rsid w:val="69B06EFE"/>
    <w:rsid w:val="69B840F1"/>
    <w:rsid w:val="69C91948"/>
    <w:rsid w:val="69D00055"/>
    <w:rsid w:val="69D72C4C"/>
    <w:rsid w:val="69F2176C"/>
    <w:rsid w:val="69F22996"/>
    <w:rsid w:val="69FD45AC"/>
    <w:rsid w:val="6A0559F4"/>
    <w:rsid w:val="6A0C6539"/>
    <w:rsid w:val="6A2314C2"/>
    <w:rsid w:val="6A2826A1"/>
    <w:rsid w:val="6A424D6D"/>
    <w:rsid w:val="6A551347"/>
    <w:rsid w:val="6A5660EE"/>
    <w:rsid w:val="6A5D1911"/>
    <w:rsid w:val="6A74097F"/>
    <w:rsid w:val="6A7E1AA3"/>
    <w:rsid w:val="6A873F21"/>
    <w:rsid w:val="6A9635F7"/>
    <w:rsid w:val="6A9F3407"/>
    <w:rsid w:val="6AA45AEE"/>
    <w:rsid w:val="6AAA05A9"/>
    <w:rsid w:val="6AC372C9"/>
    <w:rsid w:val="6AE421C6"/>
    <w:rsid w:val="6AE60B4C"/>
    <w:rsid w:val="6B0E0011"/>
    <w:rsid w:val="6B0E36BF"/>
    <w:rsid w:val="6B113D9E"/>
    <w:rsid w:val="6B1E56E8"/>
    <w:rsid w:val="6B3529D0"/>
    <w:rsid w:val="6B3611E8"/>
    <w:rsid w:val="6B3C6A10"/>
    <w:rsid w:val="6B3D3D48"/>
    <w:rsid w:val="6B5B3158"/>
    <w:rsid w:val="6B671A40"/>
    <w:rsid w:val="6B726A7C"/>
    <w:rsid w:val="6B874D65"/>
    <w:rsid w:val="6B8833D8"/>
    <w:rsid w:val="6B8902B7"/>
    <w:rsid w:val="6B9D5D1E"/>
    <w:rsid w:val="6BA832B8"/>
    <w:rsid w:val="6BB54A7D"/>
    <w:rsid w:val="6BB65771"/>
    <w:rsid w:val="6BBA5C26"/>
    <w:rsid w:val="6BC644EC"/>
    <w:rsid w:val="6BDB04B6"/>
    <w:rsid w:val="6BDF74A0"/>
    <w:rsid w:val="6BE963BE"/>
    <w:rsid w:val="6C0976DB"/>
    <w:rsid w:val="6C0F365E"/>
    <w:rsid w:val="6C2E2CA9"/>
    <w:rsid w:val="6C33536D"/>
    <w:rsid w:val="6C3E3641"/>
    <w:rsid w:val="6C517C19"/>
    <w:rsid w:val="6C546B99"/>
    <w:rsid w:val="6C547454"/>
    <w:rsid w:val="6C5648D5"/>
    <w:rsid w:val="6C740601"/>
    <w:rsid w:val="6C842DAB"/>
    <w:rsid w:val="6C8A5474"/>
    <w:rsid w:val="6CD55070"/>
    <w:rsid w:val="6CD85C69"/>
    <w:rsid w:val="6CF22917"/>
    <w:rsid w:val="6D464DCC"/>
    <w:rsid w:val="6D4C2B2F"/>
    <w:rsid w:val="6D616216"/>
    <w:rsid w:val="6D8D1511"/>
    <w:rsid w:val="6D932C97"/>
    <w:rsid w:val="6DA225C5"/>
    <w:rsid w:val="6DAF70C4"/>
    <w:rsid w:val="6DB630F7"/>
    <w:rsid w:val="6DBF57D4"/>
    <w:rsid w:val="6DCC557B"/>
    <w:rsid w:val="6DDA530C"/>
    <w:rsid w:val="6E04099A"/>
    <w:rsid w:val="6E0970C2"/>
    <w:rsid w:val="6E0E61FC"/>
    <w:rsid w:val="6E2C4D04"/>
    <w:rsid w:val="6E2D5EB3"/>
    <w:rsid w:val="6E3101C1"/>
    <w:rsid w:val="6E384CE3"/>
    <w:rsid w:val="6E451A64"/>
    <w:rsid w:val="6E67698D"/>
    <w:rsid w:val="6E6839F7"/>
    <w:rsid w:val="6E733F82"/>
    <w:rsid w:val="6E7C3832"/>
    <w:rsid w:val="6E874489"/>
    <w:rsid w:val="6E87744E"/>
    <w:rsid w:val="6E960A52"/>
    <w:rsid w:val="6EA0744D"/>
    <w:rsid w:val="6EA3291D"/>
    <w:rsid w:val="6EA67504"/>
    <w:rsid w:val="6EC963F9"/>
    <w:rsid w:val="6ED133CF"/>
    <w:rsid w:val="6EDD75A0"/>
    <w:rsid w:val="6EE73EE7"/>
    <w:rsid w:val="6F0C7CB6"/>
    <w:rsid w:val="6F0D2298"/>
    <w:rsid w:val="6F137C53"/>
    <w:rsid w:val="6F145E1F"/>
    <w:rsid w:val="6F276C23"/>
    <w:rsid w:val="6F37324B"/>
    <w:rsid w:val="6F4544CA"/>
    <w:rsid w:val="6F4B77AB"/>
    <w:rsid w:val="6F59783E"/>
    <w:rsid w:val="6F5A407F"/>
    <w:rsid w:val="6F83129A"/>
    <w:rsid w:val="6F9045BD"/>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D18E2"/>
    <w:rsid w:val="70394E16"/>
    <w:rsid w:val="703B2856"/>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843D6"/>
    <w:rsid w:val="710F0BB8"/>
    <w:rsid w:val="71167DC3"/>
    <w:rsid w:val="71194261"/>
    <w:rsid w:val="711C5BB5"/>
    <w:rsid w:val="71223763"/>
    <w:rsid w:val="71231323"/>
    <w:rsid w:val="71332F6B"/>
    <w:rsid w:val="71375D39"/>
    <w:rsid w:val="713839ED"/>
    <w:rsid w:val="7144689C"/>
    <w:rsid w:val="714872A8"/>
    <w:rsid w:val="715971DA"/>
    <w:rsid w:val="715E1D34"/>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87707C"/>
    <w:rsid w:val="72931EAF"/>
    <w:rsid w:val="72963B15"/>
    <w:rsid w:val="729A226E"/>
    <w:rsid w:val="729B43C7"/>
    <w:rsid w:val="729B556A"/>
    <w:rsid w:val="72A264DB"/>
    <w:rsid w:val="72AA2B66"/>
    <w:rsid w:val="72BD48D1"/>
    <w:rsid w:val="72C65D78"/>
    <w:rsid w:val="72CC4B5A"/>
    <w:rsid w:val="72D7336E"/>
    <w:rsid w:val="72F21234"/>
    <w:rsid w:val="72FD0906"/>
    <w:rsid w:val="730533DA"/>
    <w:rsid w:val="7313580C"/>
    <w:rsid w:val="731C7A26"/>
    <w:rsid w:val="73300890"/>
    <w:rsid w:val="7339443F"/>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40C66E7"/>
    <w:rsid w:val="741D2D43"/>
    <w:rsid w:val="74531BA0"/>
    <w:rsid w:val="745B0796"/>
    <w:rsid w:val="745F4062"/>
    <w:rsid w:val="746E44AF"/>
    <w:rsid w:val="748B3292"/>
    <w:rsid w:val="74DF558B"/>
    <w:rsid w:val="74EB342B"/>
    <w:rsid w:val="74EE1D1B"/>
    <w:rsid w:val="74F10289"/>
    <w:rsid w:val="74F826B3"/>
    <w:rsid w:val="75014572"/>
    <w:rsid w:val="75067D82"/>
    <w:rsid w:val="75101474"/>
    <w:rsid w:val="75152359"/>
    <w:rsid w:val="751C5273"/>
    <w:rsid w:val="752955C7"/>
    <w:rsid w:val="752A74B0"/>
    <w:rsid w:val="753377D5"/>
    <w:rsid w:val="7534717D"/>
    <w:rsid w:val="75422294"/>
    <w:rsid w:val="75473AB6"/>
    <w:rsid w:val="755A639D"/>
    <w:rsid w:val="75612341"/>
    <w:rsid w:val="756748BC"/>
    <w:rsid w:val="757D51F0"/>
    <w:rsid w:val="75882465"/>
    <w:rsid w:val="7589081E"/>
    <w:rsid w:val="75913AD5"/>
    <w:rsid w:val="7597375C"/>
    <w:rsid w:val="7599182A"/>
    <w:rsid w:val="759F6500"/>
    <w:rsid w:val="75AB03F6"/>
    <w:rsid w:val="75CA48E7"/>
    <w:rsid w:val="75D15E60"/>
    <w:rsid w:val="75D370DC"/>
    <w:rsid w:val="75E027FD"/>
    <w:rsid w:val="75E85E32"/>
    <w:rsid w:val="76194A46"/>
    <w:rsid w:val="76245AA1"/>
    <w:rsid w:val="76351D9E"/>
    <w:rsid w:val="76511A24"/>
    <w:rsid w:val="765629A7"/>
    <w:rsid w:val="76752691"/>
    <w:rsid w:val="76924971"/>
    <w:rsid w:val="76933E2E"/>
    <w:rsid w:val="76964351"/>
    <w:rsid w:val="76A27B4C"/>
    <w:rsid w:val="76B27791"/>
    <w:rsid w:val="76B918A6"/>
    <w:rsid w:val="76BC587C"/>
    <w:rsid w:val="76BF7808"/>
    <w:rsid w:val="76C00AFC"/>
    <w:rsid w:val="76C07136"/>
    <w:rsid w:val="76ED1347"/>
    <w:rsid w:val="76F433E8"/>
    <w:rsid w:val="76FE2599"/>
    <w:rsid w:val="771946D8"/>
    <w:rsid w:val="772268FD"/>
    <w:rsid w:val="77474684"/>
    <w:rsid w:val="774B39B8"/>
    <w:rsid w:val="775666E2"/>
    <w:rsid w:val="775C6450"/>
    <w:rsid w:val="77653ACC"/>
    <w:rsid w:val="77747DD3"/>
    <w:rsid w:val="778921FF"/>
    <w:rsid w:val="779E603D"/>
    <w:rsid w:val="77A140EE"/>
    <w:rsid w:val="77A82770"/>
    <w:rsid w:val="77BD4BE4"/>
    <w:rsid w:val="77BD7E72"/>
    <w:rsid w:val="77C9487D"/>
    <w:rsid w:val="77CD6A8C"/>
    <w:rsid w:val="77D54299"/>
    <w:rsid w:val="77ED0386"/>
    <w:rsid w:val="77F07C34"/>
    <w:rsid w:val="77F72469"/>
    <w:rsid w:val="77F854D4"/>
    <w:rsid w:val="78003B18"/>
    <w:rsid w:val="78065036"/>
    <w:rsid w:val="780D5CB6"/>
    <w:rsid w:val="78366B8C"/>
    <w:rsid w:val="783B287A"/>
    <w:rsid w:val="783B697C"/>
    <w:rsid w:val="78482C69"/>
    <w:rsid w:val="785E7689"/>
    <w:rsid w:val="786A7B13"/>
    <w:rsid w:val="788249B9"/>
    <w:rsid w:val="78886D15"/>
    <w:rsid w:val="78B2035E"/>
    <w:rsid w:val="78B43B82"/>
    <w:rsid w:val="78B57D9C"/>
    <w:rsid w:val="78BB76EA"/>
    <w:rsid w:val="78DD6CAF"/>
    <w:rsid w:val="78E26C73"/>
    <w:rsid w:val="78E76B0F"/>
    <w:rsid w:val="78F65C61"/>
    <w:rsid w:val="78FB1BD1"/>
    <w:rsid w:val="79062B74"/>
    <w:rsid w:val="79213328"/>
    <w:rsid w:val="79213DE2"/>
    <w:rsid w:val="79260347"/>
    <w:rsid w:val="795A72C4"/>
    <w:rsid w:val="7964410F"/>
    <w:rsid w:val="7964511F"/>
    <w:rsid w:val="79824E81"/>
    <w:rsid w:val="79956A1C"/>
    <w:rsid w:val="799B2468"/>
    <w:rsid w:val="799E7491"/>
    <w:rsid w:val="799F3F47"/>
    <w:rsid w:val="79A72484"/>
    <w:rsid w:val="79A82466"/>
    <w:rsid w:val="79BA471D"/>
    <w:rsid w:val="79C47FC2"/>
    <w:rsid w:val="79C904F9"/>
    <w:rsid w:val="79D417BE"/>
    <w:rsid w:val="79DF005F"/>
    <w:rsid w:val="79E028EC"/>
    <w:rsid w:val="7A081275"/>
    <w:rsid w:val="7A114E8A"/>
    <w:rsid w:val="7A1C5B1C"/>
    <w:rsid w:val="7A233119"/>
    <w:rsid w:val="7A257B24"/>
    <w:rsid w:val="7A2D6C9D"/>
    <w:rsid w:val="7A4653BA"/>
    <w:rsid w:val="7A4B5858"/>
    <w:rsid w:val="7A765EEC"/>
    <w:rsid w:val="7A773B5D"/>
    <w:rsid w:val="7A790CA9"/>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B16D3"/>
    <w:rsid w:val="7B2377A6"/>
    <w:rsid w:val="7B2E6780"/>
    <w:rsid w:val="7B5D217A"/>
    <w:rsid w:val="7B614801"/>
    <w:rsid w:val="7B684A54"/>
    <w:rsid w:val="7B81254A"/>
    <w:rsid w:val="7B913B86"/>
    <w:rsid w:val="7B97422A"/>
    <w:rsid w:val="7BA969F0"/>
    <w:rsid w:val="7BB31B68"/>
    <w:rsid w:val="7BCB31C0"/>
    <w:rsid w:val="7BD33A74"/>
    <w:rsid w:val="7BDC6155"/>
    <w:rsid w:val="7BEB1DC6"/>
    <w:rsid w:val="7BF32FA3"/>
    <w:rsid w:val="7C071C5F"/>
    <w:rsid w:val="7C0E6ABC"/>
    <w:rsid w:val="7C1311BA"/>
    <w:rsid w:val="7C194469"/>
    <w:rsid w:val="7C1A6CD5"/>
    <w:rsid w:val="7C237826"/>
    <w:rsid w:val="7C2630F4"/>
    <w:rsid w:val="7C3A066B"/>
    <w:rsid w:val="7C45471C"/>
    <w:rsid w:val="7C517BC7"/>
    <w:rsid w:val="7C5E0A26"/>
    <w:rsid w:val="7C7E27D3"/>
    <w:rsid w:val="7C7F3629"/>
    <w:rsid w:val="7C8B7A6D"/>
    <w:rsid w:val="7C90110D"/>
    <w:rsid w:val="7C904E85"/>
    <w:rsid w:val="7C9804DD"/>
    <w:rsid w:val="7C9B6AF6"/>
    <w:rsid w:val="7CA34622"/>
    <w:rsid w:val="7CC90590"/>
    <w:rsid w:val="7CDA24B3"/>
    <w:rsid w:val="7D030553"/>
    <w:rsid w:val="7D2F6FF7"/>
    <w:rsid w:val="7D303FCF"/>
    <w:rsid w:val="7D332F6D"/>
    <w:rsid w:val="7D3446E3"/>
    <w:rsid w:val="7D3A1A33"/>
    <w:rsid w:val="7D3D587B"/>
    <w:rsid w:val="7D4435DF"/>
    <w:rsid w:val="7D4B267A"/>
    <w:rsid w:val="7D5C75F5"/>
    <w:rsid w:val="7D694213"/>
    <w:rsid w:val="7D6E6D2F"/>
    <w:rsid w:val="7D7026FE"/>
    <w:rsid w:val="7D7D7653"/>
    <w:rsid w:val="7D7F2266"/>
    <w:rsid w:val="7DB838C8"/>
    <w:rsid w:val="7DC23C3E"/>
    <w:rsid w:val="7DC772F2"/>
    <w:rsid w:val="7DCA5633"/>
    <w:rsid w:val="7DF46E1B"/>
    <w:rsid w:val="7E0464CE"/>
    <w:rsid w:val="7E202324"/>
    <w:rsid w:val="7E2C2660"/>
    <w:rsid w:val="7E476D34"/>
    <w:rsid w:val="7E555A2D"/>
    <w:rsid w:val="7E5E27C5"/>
    <w:rsid w:val="7E636883"/>
    <w:rsid w:val="7E6D6DAE"/>
    <w:rsid w:val="7E6F3FB2"/>
    <w:rsid w:val="7E957586"/>
    <w:rsid w:val="7E9B11AA"/>
    <w:rsid w:val="7E9E1DEB"/>
    <w:rsid w:val="7E9F0EE7"/>
    <w:rsid w:val="7EA32AD0"/>
    <w:rsid w:val="7EAF51F9"/>
    <w:rsid w:val="7EC8710E"/>
    <w:rsid w:val="7ECD4344"/>
    <w:rsid w:val="7ED55007"/>
    <w:rsid w:val="7ED953E3"/>
    <w:rsid w:val="7EED1877"/>
    <w:rsid w:val="7EF765D0"/>
    <w:rsid w:val="7EF87C96"/>
    <w:rsid w:val="7F086927"/>
    <w:rsid w:val="7F215D8A"/>
    <w:rsid w:val="7F2A051F"/>
    <w:rsid w:val="7F301B1E"/>
    <w:rsid w:val="7F375D0A"/>
    <w:rsid w:val="7F3E199C"/>
    <w:rsid w:val="7F42603D"/>
    <w:rsid w:val="7F500CBA"/>
    <w:rsid w:val="7F587DE1"/>
    <w:rsid w:val="7F59726B"/>
    <w:rsid w:val="7F61016D"/>
    <w:rsid w:val="7F635A42"/>
    <w:rsid w:val="7F6D28E2"/>
    <w:rsid w:val="7F7A1687"/>
    <w:rsid w:val="7F7D36AC"/>
    <w:rsid w:val="7F820D78"/>
    <w:rsid w:val="7F935AA2"/>
    <w:rsid w:val="7FA379C4"/>
    <w:rsid w:val="7FA51E6D"/>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Default"/>
    <w:unhideWhenUsed/>
    <w:qFormat/>
    <w:uiPriority w:val="99"/>
    <w:pPr>
      <w:widowControl w:val="0"/>
      <w:autoSpaceDE w:val="0"/>
      <w:autoSpaceDN w:val="0"/>
      <w:adjustRightInd w:val="0"/>
      <w:spacing w:after="160" w:line="259" w:lineRule="auto"/>
    </w:pPr>
    <w:rPr>
      <w:rFonts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C40EE6-E618-4967-9980-02A113E33F8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8</Pages>
  <Words>3597</Words>
  <Characters>20506</Characters>
  <Lines>170</Lines>
  <Paragraphs>48</Paragraphs>
  <TotalTime>3</TotalTime>
  <ScaleCrop>false</ScaleCrop>
  <LinksUpToDate>false</LinksUpToDate>
  <CharactersWithSpaces>24055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10301790</cp:lastModifiedBy>
  <dcterms:modified xsi:type="dcterms:W3CDTF">2022-11-07T07:50:44Z</dcterms:modified>
  <dc:title>3GPP TSG-RAN WG1</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7B1177A38921451BB16D233193E5A7C9</vt:lpwstr>
  </property>
</Properties>
</file>